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Look w:val="04A0" w:firstRow="1" w:lastRow="0" w:firstColumn="1" w:lastColumn="0" w:noHBand="0" w:noVBand="1"/>
      </w:tblPr>
      <w:tblGrid>
        <w:gridCol w:w="5360"/>
        <w:gridCol w:w="3656"/>
      </w:tblGrid>
      <w:tr w:rsidR="000A5215" w:rsidRPr="00144AE4" w14:paraId="5C6E5EAD" w14:textId="77777777" w:rsidTr="005A25C6">
        <w:trPr>
          <w:trHeight w:val="2250"/>
        </w:trPr>
        <w:tc>
          <w:tcPr>
            <w:tcW w:w="7508" w:type="dxa"/>
          </w:tcPr>
          <w:p w14:paraId="4775BBEF" w14:textId="212E50E0" w:rsidR="000A5215" w:rsidRPr="000A5215" w:rsidRDefault="00CB16C9" w:rsidP="00CB16C9">
            <w:pPr>
              <w:pStyle w:val="Heading1"/>
              <w:rPr>
                <w:rFonts w:eastAsia="Times New Roman"/>
              </w:rPr>
            </w:pPr>
            <w:r>
              <w:rPr>
                <w:rFonts w:eastAsia="Times New Roman"/>
              </w:rPr>
              <w:t>Local Enrolment Policy</w:t>
            </w:r>
            <w:r w:rsidR="000A5215" w:rsidRPr="000A5215">
              <w:rPr>
                <w:rFonts w:eastAsia="Times New Roman"/>
              </w:rPr>
              <w:t xml:space="preserve"> </w:t>
            </w:r>
            <w:r>
              <w:rPr>
                <w:rFonts w:eastAsia="Times New Roman"/>
              </w:rPr>
              <w:t>for The Pavilion School (Charles La Trobe College)</w:t>
            </w:r>
            <w:r w:rsidR="000A5215" w:rsidRPr="000A5215">
              <w:rPr>
                <w:rFonts w:eastAsia="Times New Roman"/>
              </w:rPr>
              <w:br/>
            </w:r>
          </w:p>
          <w:p w14:paraId="5382ADC4" w14:textId="4F116A89" w:rsidR="000A5215" w:rsidRPr="00144AE4" w:rsidRDefault="000A5215" w:rsidP="00CB16C9">
            <w:pPr>
              <w:pStyle w:val="Heading1"/>
              <w:rPr>
                <w:rFonts w:eastAsia="Times New Roman"/>
                <w:lang w:val="en-GB"/>
              </w:rPr>
            </w:pPr>
            <w:r w:rsidRPr="005B3153">
              <w:rPr>
                <w:rFonts w:eastAsia="Times New Roman"/>
                <w:lang w:val="en-GB"/>
              </w:rPr>
              <w:t>(</w:t>
            </w:r>
            <w:r w:rsidR="00CB16C9">
              <w:rPr>
                <w:rFonts w:eastAsia="Times New Roman"/>
                <w:lang w:val="en-GB"/>
              </w:rPr>
              <w:t>VRQA</w:t>
            </w:r>
            <w:r w:rsidRPr="005B3153">
              <w:rPr>
                <w:rFonts w:eastAsia="Times New Roman"/>
                <w:lang w:val="en-GB"/>
              </w:rPr>
              <w:t>)</w:t>
            </w:r>
          </w:p>
          <w:p w14:paraId="57510B13" w14:textId="77777777" w:rsidR="000A5215" w:rsidRPr="00144AE4" w:rsidRDefault="000A5215" w:rsidP="00CB16C9"/>
        </w:tc>
        <w:tc>
          <w:tcPr>
            <w:tcW w:w="2228" w:type="dxa"/>
          </w:tcPr>
          <w:p w14:paraId="5B22ADB2" w14:textId="77777777" w:rsidR="000A5215" w:rsidRPr="00144AE4" w:rsidRDefault="000A5215" w:rsidP="00CB16C9">
            <w:r w:rsidRPr="00144AE4">
              <w:rPr>
                <w:noProof/>
              </w:rPr>
              <w:drawing>
                <wp:inline distT="0" distB="0" distL="0" distR="0" wp14:anchorId="11330AF6" wp14:editId="6E38395C">
                  <wp:extent cx="2180914" cy="1403742"/>
                  <wp:effectExtent l="0" t="0" r="3810" b="635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80914" cy="1403742"/>
                          </a:xfrm>
                          <a:prstGeom prst="rect">
                            <a:avLst/>
                          </a:prstGeom>
                        </pic:spPr>
                      </pic:pic>
                    </a:graphicData>
                  </a:graphic>
                </wp:inline>
              </w:drawing>
            </w:r>
          </w:p>
        </w:tc>
      </w:tr>
    </w:tbl>
    <w:p w14:paraId="013F4BDF" w14:textId="6637FCC4" w:rsidR="000A5215" w:rsidRPr="005B3153" w:rsidRDefault="000A5215" w:rsidP="00CB16C9"/>
    <w:p w14:paraId="56FB6436" w14:textId="0CE8D29C" w:rsidR="00B203F0" w:rsidRPr="005B3153" w:rsidRDefault="000A5215" w:rsidP="00CB16C9">
      <w:pPr>
        <w:pStyle w:val="Heading1"/>
      </w:pPr>
      <w:bookmarkStart w:id="0" w:name="_Toc528849074"/>
      <w:r w:rsidRPr="005B3153">
        <w:rPr>
          <w:noProof/>
        </w:rPr>
        <w:drawing>
          <wp:anchor distT="0" distB="0" distL="114300" distR="114300" simplePos="0" relativeHeight="251659264" behindDoc="0" locked="0" layoutInCell="1" allowOverlap="1" wp14:anchorId="0571C7E3" wp14:editId="74B66EBC">
            <wp:simplePos x="0" y="0"/>
            <wp:positionH relativeFrom="margin">
              <wp:posOffset>0</wp:posOffset>
            </wp:positionH>
            <wp:positionV relativeFrom="paragraph">
              <wp:posOffset>89041</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00B203F0" w:rsidRPr="005B3153">
        <w:t xml:space="preserve">Help for non-English </w:t>
      </w:r>
      <w:proofErr w:type="gramStart"/>
      <w:r w:rsidR="00B203F0" w:rsidRPr="005B3153">
        <w:t>speakers</w:t>
      </w:r>
      <w:proofErr w:type="gramEnd"/>
    </w:p>
    <w:p w14:paraId="4181A9EC" w14:textId="38C6C78A" w:rsidR="00C83361" w:rsidRPr="005B3153" w:rsidRDefault="00C83361" w:rsidP="00CB16C9">
      <w:r w:rsidRPr="005B3153">
        <w:t>If you need help to understand this policy, please contact the front office on 9223-1400</w:t>
      </w:r>
    </w:p>
    <w:p w14:paraId="22E0A482" w14:textId="77777777" w:rsidR="00B203F0" w:rsidRPr="005B3153" w:rsidRDefault="00B203F0" w:rsidP="00CB16C9"/>
    <w:p w14:paraId="02015C7F" w14:textId="77777777" w:rsidR="00626AB7" w:rsidRPr="005B3153" w:rsidRDefault="009661DC" w:rsidP="00CB16C9">
      <w:pPr>
        <w:pStyle w:val="Heading1"/>
      </w:pPr>
      <w:r w:rsidRPr="005B3153">
        <w:t>Purpose</w:t>
      </w:r>
    </w:p>
    <w:p w14:paraId="31FA370E" w14:textId="635A8365" w:rsidR="00CB16C9" w:rsidRDefault="00CB16C9" w:rsidP="00CB16C9">
      <w:r w:rsidRPr="00CB16C9">
        <w:t xml:space="preserve">This policy sets out the requirements for school </w:t>
      </w:r>
      <w:r>
        <w:t xml:space="preserve">and family enrolments in to, and referrals to, The Pavilion School (Charles La Trobe College), and </w:t>
      </w:r>
      <w:r w:rsidRPr="00CB16C9">
        <w:t xml:space="preserve">referrals to Flexible Learning Options (FLOs), </w:t>
      </w:r>
      <w:r w:rsidR="008B67FE">
        <w:t xml:space="preserve">and </w:t>
      </w:r>
      <w:r w:rsidRPr="00CB16C9">
        <w:t>recording of FLO placements in CASES21</w:t>
      </w:r>
      <w:r w:rsidR="008B67FE">
        <w:t>.</w:t>
      </w:r>
    </w:p>
    <w:p w14:paraId="6D9D9831" w14:textId="1FDE65F5" w:rsidR="00626AB7" w:rsidRPr="005B3153" w:rsidRDefault="00626AB7" w:rsidP="00CB16C9">
      <w:pPr>
        <w:pStyle w:val="Heading1"/>
      </w:pPr>
      <w:r w:rsidRPr="005B3153">
        <w:t>S</w:t>
      </w:r>
      <w:r w:rsidR="009661DC" w:rsidRPr="005B3153">
        <w:t>cope</w:t>
      </w:r>
    </w:p>
    <w:p w14:paraId="2C046891" w14:textId="17078613" w:rsidR="00CB16C9" w:rsidRDefault="00626AB7" w:rsidP="00CB16C9">
      <w:r w:rsidRPr="005B3153">
        <w:t>This policy applies to</w:t>
      </w:r>
      <w:r w:rsidR="00CB16C9">
        <w:t xml:space="preserve"> enrolled</w:t>
      </w:r>
      <w:r w:rsidR="00143D96">
        <w:t xml:space="preserve">, </w:t>
      </w:r>
      <w:proofErr w:type="gramStart"/>
      <w:r w:rsidR="00143D96">
        <w:t>referred</w:t>
      </w:r>
      <w:proofErr w:type="gramEnd"/>
      <w:r w:rsidR="00CB16C9">
        <w:t xml:space="preserve"> and prospective</w:t>
      </w:r>
      <w:r w:rsidRPr="005B3153">
        <w:t xml:space="preserve"> </w:t>
      </w:r>
      <w:r w:rsidR="009661DC" w:rsidRPr="005B3153">
        <w:t>students</w:t>
      </w:r>
      <w:r w:rsidR="00C52DF4">
        <w:t>, families</w:t>
      </w:r>
      <w:r w:rsidR="009661DC" w:rsidRPr="005B3153">
        <w:t xml:space="preserve"> </w:t>
      </w:r>
      <w:r w:rsidR="000B4C9B" w:rsidRPr="005B3153">
        <w:t xml:space="preserve">and staff </w:t>
      </w:r>
      <w:r w:rsidR="009661DC" w:rsidRPr="005B3153">
        <w:t xml:space="preserve">at </w:t>
      </w:r>
      <w:r w:rsidR="00CB16C9">
        <w:t>The Pavilion School (Charles La Trobe College)</w:t>
      </w:r>
      <w:r w:rsidR="00143D96">
        <w:t>.</w:t>
      </w:r>
    </w:p>
    <w:p w14:paraId="5A4BFFA2" w14:textId="39C09442" w:rsidR="00F066C8" w:rsidRPr="005B3153" w:rsidRDefault="00F066C8" w:rsidP="00B55991">
      <w:pPr>
        <w:pStyle w:val="Heading1"/>
      </w:pPr>
      <w:r w:rsidRPr="005B3153">
        <w:t>Definitions</w:t>
      </w:r>
    </w:p>
    <w:p w14:paraId="5290574C" w14:textId="77777777" w:rsidR="00CB16C9" w:rsidRPr="00CB16C9" w:rsidRDefault="00CB16C9" w:rsidP="00CB16C9">
      <w:r w:rsidRPr="00CB16C9">
        <w:t>Types of FLOs</w:t>
      </w:r>
    </w:p>
    <w:p w14:paraId="0671D455" w14:textId="77777777" w:rsidR="00CB16C9" w:rsidRPr="00CB16C9" w:rsidRDefault="00CB16C9" w:rsidP="00CB16C9">
      <w:r w:rsidRPr="00CB16C9">
        <w:t>There are 3 interrelated categories of FLOs within the Victorian government education system:</w:t>
      </w:r>
    </w:p>
    <w:p w14:paraId="57EB6C90" w14:textId="77777777" w:rsidR="00CB16C9" w:rsidRPr="00CB16C9" w:rsidRDefault="00CB16C9" w:rsidP="00CB16C9">
      <w:pPr>
        <w:pStyle w:val="ListParagraph"/>
        <w:numPr>
          <w:ilvl w:val="0"/>
          <w:numId w:val="38"/>
        </w:numPr>
      </w:pPr>
      <w:r w:rsidRPr="00CB16C9">
        <w:t xml:space="preserve">Flexible learning government schools – Victorian Registration and Qualifications Authority (VRQA) registered specialist or specific purpose schools that primarily enrol students that are at risk or have already disengaged from education and offer a flexible, individualised </w:t>
      </w:r>
      <w:proofErr w:type="gramStart"/>
      <w:r w:rsidRPr="00CB16C9">
        <w:t>curriculum</w:t>
      </w:r>
      <w:proofErr w:type="gramEnd"/>
    </w:p>
    <w:p w14:paraId="7DB0A62D" w14:textId="77777777" w:rsidR="00CB16C9" w:rsidRPr="00CB16C9" w:rsidRDefault="00CB16C9" w:rsidP="00CB16C9">
      <w:pPr>
        <w:pStyle w:val="ListParagraph"/>
        <w:numPr>
          <w:ilvl w:val="0"/>
          <w:numId w:val="38"/>
        </w:numPr>
      </w:pPr>
      <w:r w:rsidRPr="00CB16C9">
        <w:t xml:space="preserve">Flexible learning campuses – learning settings or programs that are standalone, registered specialist or specific purpose campuses of Victorian government schools under the VRQA that are specifically targeted at students at risk of disengagement and are provided as an alternative to the main </w:t>
      </w:r>
      <w:proofErr w:type="gramStart"/>
      <w:r w:rsidRPr="00CB16C9">
        <w:t>campus</w:t>
      </w:r>
      <w:proofErr w:type="gramEnd"/>
    </w:p>
    <w:p w14:paraId="7CE412B1" w14:textId="77777777" w:rsidR="00CB16C9" w:rsidRPr="00CB16C9" w:rsidRDefault="00CB16C9" w:rsidP="00CB16C9">
      <w:pPr>
        <w:pStyle w:val="ListParagraph"/>
        <w:numPr>
          <w:ilvl w:val="0"/>
          <w:numId w:val="38"/>
        </w:numPr>
      </w:pPr>
      <w:r w:rsidRPr="00CB16C9">
        <w:t>Flexible in-school programs – learning programs that are delivered within a main campus of a school to support students enrolled at that school who are at risk of disengagement. They can be in partnership with other schools or external providers. These programs should be incorporated into a student’s existing learning program.</w:t>
      </w:r>
    </w:p>
    <w:p w14:paraId="54AE045D" w14:textId="77777777" w:rsidR="00CB16C9" w:rsidRPr="00CB16C9" w:rsidRDefault="00CB16C9" w:rsidP="00CB16C9">
      <w:r w:rsidRPr="00CB16C9">
        <w:t>Note: There are a range of non-government flexible settings that offer similar supports, such as re-engagement programs for years 7 to 10 and VCE, including the VCE Vocational Major or Victorian Pathways Certificate (VPC) delivered by a non-school senior secondary or foundation secondary provider (NSSFSP). These are not within the scope of this policy.</w:t>
      </w:r>
    </w:p>
    <w:p w14:paraId="32EA4B90" w14:textId="77777777" w:rsidR="00CB16C9" w:rsidRPr="00CB16C9" w:rsidRDefault="00CB16C9" w:rsidP="00CB16C9">
      <w:r w:rsidRPr="00CB16C9">
        <w:t>Further information on these settings can be found in the department’s </w:t>
      </w:r>
      <w:hyperlink r:id="rId14" w:history="1">
        <w:r w:rsidRPr="00CB16C9">
          <w:rPr>
            <w:rStyle w:val="Hyperlink"/>
          </w:rPr>
          <w:t>Re-engagement Programs Policy</w:t>
        </w:r>
      </w:hyperlink>
      <w:r w:rsidRPr="00CB16C9">
        <w:t>.</w:t>
      </w:r>
    </w:p>
    <w:p w14:paraId="3F7CCA81" w14:textId="77777777" w:rsidR="00626AB7" w:rsidRPr="005B3153" w:rsidRDefault="00F066C8" w:rsidP="00B55991">
      <w:pPr>
        <w:pStyle w:val="Heading1"/>
      </w:pPr>
      <w:r w:rsidRPr="005B3153">
        <w:lastRenderedPageBreak/>
        <w:t>Policy</w:t>
      </w:r>
    </w:p>
    <w:p w14:paraId="115501A4" w14:textId="7D323B43" w:rsidR="00B55991" w:rsidRDefault="00B55991" w:rsidP="00B55991">
      <w:pPr>
        <w:pStyle w:val="Heading2"/>
      </w:pPr>
      <w:commentRangeStart w:id="1"/>
      <w:r>
        <w:t>Eligibility to attend The Pavilion School (Charles La Trobe College)</w:t>
      </w:r>
    </w:p>
    <w:p w14:paraId="052CB358" w14:textId="08747690" w:rsidR="00B55991" w:rsidRDefault="00B55991" w:rsidP="00B55991">
      <w:r>
        <w:t xml:space="preserve">Students </w:t>
      </w:r>
      <w:r w:rsidR="00C40783">
        <w:t>who are disengaged from their mainstream school</w:t>
      </w:r>
      <w:r>
        <w:t xml:space="preserve"> should be referred to The Pavilion School only in the instance where their needs are not able to be me</w:t>
      </w:r>
      <w:r w:rsidR="00C40783">
        <w:t>t</w:t>
      </w:r>
      <w:r>
        <w:t>, and where in-school strategies and interventions (such as access to specialist services and classroom differentiation) are unsuitable or have proven to be ineffective. Students may be considered disenga</w:t>
      </w:r>
      <w:r w:rsidR="00C40783">
        <w:t>ged from school</w:t>
      </w:r>
      <w:r>
        <w:t xml:space="preserve"> based on the following indicators:</w:t>
      </w:r>
    </w:p>
    <w:p w14:paraId="1EE8E461" w14:textId="77777777" w:rsidR="00B55991" w:rsidRDefault="00B55991" w:rsidP="00B55991">
      <w:pPr>
        <w:numPr>
          <w:ilvl w:val="0"/>
          <w:numId w:val="39"/>
        </w:numPr>
        <w:spacing w:before="100" w:beforeAutospacing="1" w:after="100" w:afterAutospacing="1" w:line="240" w:lineRule="auto"/>
        <w:jc w:val="left"/>
        <w:rPr>
          <w:rFonts w:ascii="Arial" w:hAnsi="Arial" w:cs="Arial"/>
          <w:color w:val="011A3C"/>
        </w:rPr>
      </w:pPr>
      <w:r>
        <w:rPr>
          <w:rFonts w:ascii="Arial" w:hAnsi="Arial" w:cs="Arial"/>
          <w:color w:val="011A3C"/>
        </w:rPr>
        <w:t>low or non-attendance</w:t>
      </w:r>
    </w:p>
    <w:p w14:paraId="678E138F" w14:textId="77777777" w:rsidR="00B55991" w:rsidRDefault="00B55991" w:rsidP="00B55991">
      <w:pPr>
        <w:numPr>
          <w:ilvl w:val="0"/>
          <w:numId w:val="39"/>
        </w:numPr>
        <w:spacing w:before="100" w:beforeAutospacing="1" w:after="100" w:afterAutospacing="1" w:line="240" w:lineRule="auto"/>
        <w:jc w:val="left"/>
        <w:rPr>
          <w:rFonts w:ascii="Arial" w:hAnsi="Arial" w:cs="Arial"/>
          <w:color w:val="011A3C"/>
        </w:rPr>
      </w:pPr>
      <w:r>
        <w:rPr>
          <w:rFonts w:ascii="Arial" w:hAnsi="Arial" w:cs="Arial"/>
          <w:color w:val="011A3C"/>
        </w:rPr>
        <w:t>literacy and/or numeracy outcomes</w:t>
      </w:r>
    </w:p>
    <w:p w14:paraId="5091493D" w14:textId="77777777" w:rsidR="00B55991" w:rsidRDefault="00B55991" w:rsidP="00B55991">
      <w:pPr>
        <w:numPr>
          <w:ilvl w:val="0"/>
          <w:numId w:val="39"/>
        </w:numPr>
        <w:spacing w:before="100" w:beforeAutospacing="1" w:after="100" w:afterAutospacing="1" w:line="240" w:lineRule="auto"/>
        <w:jc w:val="left"/>
        <w:rPr>
          <w:rFonts w:ascii="Arial" w:hAnsi="Arial" w:cs="Arial"/>
          <w:color w:val="011A3C"/>
        </w:rPr>
      </w:pPr>
      <w:r>
        <w:rPr>
          <w:rFonts w:ascii="Arial" w:hAnsi="Arial" w:cs="Arial"/>
          <w:color w:val="011A3C"/>
        </w:rPr>
        <w:t>behaviours of concern</w:t>
      </w:r>
    </w:p>
    <w:p w14:paraId="70B37F66" w14:textId="6895C59D" w:rsidR="00B55991" w:rsidRDefault="00B55991" w:rsidP="00B55991">
      <w:pPr>
        <w:numPr>
          <w:ilvl w:val="0"/>
          <w:numId w:val="39"/>
        </w:numPr>
        <w:spacing w:before="100" w:beforeAutospacing="1" w:after="100" w:afterAutospacing="1" w:line="240" w:lineRule="auto"/>
        <w:jc w:val="left"/>
        <w:rPr>
          <w:rFonts w:ascii="Arial" w:hAnsi="Arial" w:cs="Arial"/>
          <w:color w:val="011A3C"/>
        </w:rPr>
      </w:pPr>
      <w:r>
        <w:rPr>
          <w:rFonts w:ascii="Arial" w:hAnsi="Arial" w:cs="Arial"/>
          <w:color w:val="011A3C"/>
        </w:rPr>
        <w:t>a history of school exclusion</w:t>
      </w:r>
    </w:p>
    <w:p w14:paraId="0DBB75DB" w14:textId="18F7DE86" w:rsidR="00B55991" w:rsidRDefault="00B55991" w:rsidP="00B55991">
      <w:pPr>
        <w:numPr>
          <w:ilvl w:val="0"/>
          <w:numId w:val="39"/>
        </w:numPr>
        <w:spacing w:before="100" w:beforeAutospacing="1" w:after="100" w:afterAutospacing="1" w:line="240" w:lineRule="auto"/>
        <w:jc w:val="left"/>
        <w:rPr>
          <w:rFonts w:ascii="Arial" w:hAnsi="Arial" w:cs="Arial"/>
          <w:color w:val="011A3C"/>
        </w:rPr>
      </w:pPr>
      <w:r>
        <w:rPr>
          <w:rFonts w:ascii="Arial" w:hAnsi="Arial" w:cs="Arial"/>
          <w:color w:val="011A3C"/>
        </w:rPr>
        <w:t>other at-risk factors</w:t>
      </w:r>
      <w:commentRangeEnd w:id="1"/>
      <w:r w:rsidR="00556BA7">
        <w:rPr>
          <w:rStyle w:val="CommentReference"/>
        </w:rPr>
        <w:commentReference w:id="1"/>
      </w:r>
    </w:p>
    <w:p w14:paraId="5AFBB3C4" w14:textId="77777777" w:rsidR="00B55991" w:rsidRDefault="00B55991" w:rsidP="00B55991">
      <w:pPr>
        <w:pStyle w:val="Heading2"/>
      </w:pPr>
      <w:r w:rsidRPr="00B55991">
        <w:t>Referrals</w:t>
      </w:r>
    </w:p>
    <w:p w14:paraId="052C50E8" w14:textId="0055D78E" w:rsidR="00B55991" w:rsidRDefault="00B55991" w:rsidP="00B55991">
      <w:r>
        <w:t>The referral of a student to a The Pavilion School must always be agreed between the referring school, the student, their family or carer, Charles La Trobe College (and if required, the region), and must first and foremost consider the best interests of the young person.</w:t>
      </w:r>
    </w:p>
    <w:p w14:paraId="7BF305E8" w14:textId="10264634" w:rsidR="00B55991" w:rsidRDefault="00F50254" w:rsidP="00B55991">
      <w:pPr>
        <w:pStyle w:val="Heading2"/>
      </w:pPr>
      <w:r>
        <w:t>TPS</w:t>
      </w:r>
      <w:r w:rsidR="00B55991">
        <w:t xml:space="preserve"> online referral approval process</w:t>
      </w:r>
    </w:p>
    <w:p w14:paraId="1AB90103" w14:textId="1D822520" w:rsidR="00B55991" w:rsidRDefault="00B55991" w:rsidP="00B55991">
      <w:r>
        <w:t xml:space="preserve">Schools and/or </w:t>
      </w:r>
      <w:r w:rsidR="00C40783">
        <w:t>D</w:t>
      </w:r>
      <w:r>
        <w:t>epartment</w:t>
      </w:r>
      <w:r w:rsidR="00C40783">
        <w:t xml:space="preserve"> of Education</w:t>
      </w:r>
      <w:r>
        <w:t xml:space="preserve"> regional staff must use the </w:t>
      </w:r>
      <w:hyperlink r:id="rId19" w:tgtFrame="_blank" w:history="1">
        <w:r>
          <w:rPr>
            <w:rStyle w:val="rpl-text-label"/>
            <w:rFonts w:ascii="Arial" w:hAnsi="Arial" w:cs="Arial"/>
            <w:color w:val="1855BF"/>
          </w:rPr>
          <w:t>FLO Online referral </w:t>
        </w:r>
        <w:r>
          <w:rPr>
            <w:rStyle w:val="rpl-text-icongroup"/>
            <w:rFonts w:ascii="Arial" w:hAnsi="Arial" w:cs="Arial"/>
            <w:color w:val="1855BF"/>
          </w:rPr>
          <w:t>system</w:t>
        </w:r>
      </w:hyperlink>
      <w:r>
        <w:t> (staff login required) to gain approval from the local area approver when referring a student to The Pavilion School</w:t>
      </w:r>
    </w:p>
    <w:p w14:paraId="466885F7" w14:textId="5BD95FCB" w:rsidR="00B55991" w:rsidRDefault="00B55991" w:rsidP="00B55991">
      <w:r>
        <w:t xml:space="preserve">Specific additional approval is required by the </w:t>
      </w:r>
      <w:r w:rsidR="00C40783">
        <w:t>R</w:t>
      </w:r>
      <w:r>
        <w:t xml:space="preserve">egional </w:t>
      </w:r>
      <w:r w:rsidR="00C40783">
        <w:t>D</w:t>
      </w:r>
      <w:r>
        <w:t>irector for referrals of students who:</w:t>
      </w:r>
    </w:p>
    <w:p w14:paraId="32E81F36" w14:textId="77777777" w:rsidR="00B55991" w:rsidRDefault="00B55991" w:rsidP="00B55991">
      <w:pPr>
        <w:pStyle w:val="ListParagraph"/>
        <w:numPr>
          <w:ilvl w:val="0"/>
          <w:numId w:val="43"/>
        </w:numPr>
      </w:pPr>
      <w:r>
        <w:t xml:space="preserve">are under 15 years of </w:t>
      </w:r>
      <w:proofErr w:type="gramStart"/>
      <w:r>
        <w:t>age</w:t>
      </w:r>
      <w:proofErr w:type="gramEnd"/>
    </w:p>
    <w:p w14:paraId="0E02233A" w14:textId="77777777" w:rsidR="00B55991" w:rsidRDefault="00B55991" w:rsidP="00B55991">
      <w:pPr>
        <w:pStyle w:val="ListParagraph"/>
        <w:numPr>
          <w:ilvl w:val="0"/>
          <w:numId w:val="43"/>
        </w:numPr>
      </w:pPr>
      <w:r>
        <w:t xml:space="preserve">are being referred following an </w:t>
      </w:r>
      <w:proofErr w:type="gramStart"/>
      <w:r>
        <w:t>expulsion</w:t>
      </w:r>
      <w:proofErr w:type="gramEnd"/>
    </w:p>
    <w:p w14:paraId="030E1BED" w14:textId="77777777" w:rsidR="00B55991" w:rsidRDefault="00B55991" w:rsidP="00B55991">
      <w:pPr>
        <w:pStyle w:val="ListParagraph"/>
        <w:numPr>
          <w:ilvl w:val="0"/>
          <w:numId w:val="43"/>
        </w:numPr>
      </w:pPr>
      <w:r>
        <w:t xml:space="preserve">are in out-of-home </w:t>
      </w:r>
      <w:proofErr w:type="gramStart"/>
      <w:r>
        <w:t>care</w:t>
      </w:r>
      <w:proofErr w:type="gramEnd"/>
    </w:p>
    <w:p w14:paraId="4F51FAE2" w14:textId="77777777" w:rsidR="00B55991" w:rsidRDefault="00B55991" w:rsidP="00B55991">
      <w:pPr>
        <w:pStyle w:val="ListParagraph"/>
        <w:numPr>
          <w:ilvl w:val="0"/>
          <w:numId w:val="43"/>
        </w:numPr>
      </w:pPr>
      <w:r>
        <w:t xml:space="preserve">have been involved in the youth justice </w:t>
      </w:r>
      <w:proofErr w:type="gramStart"/>
      <w:r>
        <w:t>system</w:t>
      </w:r>
      <w:proofErr w:type="gramEnd"/>
    </w:p>
    <w:p w14:paraId="17129B41" w14:textId="77777777" w:rsidR="00B55991" w:rsidRDefault="00B55991" w:rsidP="00B55991">
      <w:pPr>
        <w:pStyle w:val="ListParagraph"/>
        <w:numPr>
          <w:ilvl w:val="0"/>
          <w:numId w:val="43"/>
        </w:numPr>
      </w:pPr>
      <w:r>
        <w:t>identify as Aboriginal/Torres Strait Islander, or</w:t>
      </w:r>
    </w:p>
    <w:p w14:paraId="3FDACD5A" w14:textId="77777777" w:rsidR="00B55991" w:rsidRDefault="00B55991" w:rsidP="00B55991">
      <w:pPr>
        <w:pStyle w:val="ListParagraph"/>
        <w:numPr>
          <w:ilvl w:val="0"/>
          <w:numId w:val="43"/>
        </w:numPr>
      </w:pPr>
      <w:r>
        <w:t>are eligible for funding under the </w:t>
      </w:r>
      <w:hyperlink r:id="rId20" w:tgtFrame="_blank" w:history="1">
        <w:r w:rsidRPr="00B55991">
          <w:rPr>
            <w:rStyle w:val="rpl-text-label"/>
            <w:rFonts w:ascii="Arial" w:hAnsi="Arial" w:cs="Arial"/>
            <w:color w:val="1855BF"/>
          </w:rPr>
          <w:t>Program for Students with Disabilities </w:t>
        </w:r>
        <w:r w:rsidRPr="00B55991">
          <w:rPr>
            <w:rStyle w:val="rpl-text-icongroup"/>
            <w:rFonts w:ascii="Arial" w:hAnsi="Arial" w:cs="Arial"/>
            <w:color w:val="1855BF"/>
          </w:rPr>
          <w:t>(PSD)</w:t>
        </w:r>
      </w:hyperlink>
      <w:r>
        <w:t> or Disability Inclusion Tier 3 funding (DI Tier 3).</w:t>
      </w:r>
    </w:p>
    <w:p w14:paraId="4804CD23" w14:textId="77777777" w:rsidR="00B55991" w:rsidRDefault="00B55991" w:rsidP="00B55991">
      <w:r>
        <w:t>A referral is not required for:</w:t>
      </w:r>
    </w:p>
    <w:p w14:paraId="7B3E9094" w14:textId="77777777" w:rsidR="00B55991" w:rsidRDefault="00B55991" w:rsidP="00B55991">
      <w:pPr>
        <w:numPr>
          <w:ilvl w:val="0"/>
          <w:numId w:val="42"/>
        </w:numPr>
        <w:spacing w:before="100" w:beforeAutospacing="1" w:after="100" w:afterAutospacing="1" w:line="240" w:lineRule="auto"/>
        <w:jc w:val="left"/>
        <w:rPr>
          <w:rFonts w:ascii="Arial" w:hAnsi="Arial" w:cs="Arial"/>
          <w:color w:val="011A3C"/>
        </w:rPr>
      </w:pPr>
      <w:r>
        <w:rPr>
          <w:rFonts w:ascii="Arial" w:hAnsi="Arial" w:cs="Arial"/>
          <w:color w:val="011A3C"/>
        </w:rPr>
        <w:t>flexible learning government schools</w:t>
      </w:r>
    </w:p>
    <w:p w14:paraId="2A3D67F1" w14:textId="77777777" w:rsidR="00B55991" w:rsidRDefault="00B55991" w:rsidP="00B55991">
      <w:pPr>
        <w:numPr>
          <w:ilvl w:val="0"/>
          <w:numId w:val="42"/>
        </w:numPr>
        <w:spacing w:before="100" w:beforeAutospacing="1" w:after="100" w:afterAutospacing="1" w:line="240" w:lineRule="auto"/>
        <w:jc w:val="left"/>
        <w:rPr>
          <w:rFonts w:ascii="Arial" w:hAnsi="Arial" w:cs="Arial"/>
          <w:color w:val="011A3C"/>
        </w:rPr>
      </w:pPr>
      <w:r>
        <w:rPr>
          <w:rFonts w:ascii="Arial" w:hAnsi="Arial" w:cs="Arial"/>
          <w:color w:val="011A3C"/>
        </w:rPr>
        <w:t>other flexible learning settings and arrangements not in scope (refer to </w:t>
      </w:r>
      <w:hyperlink r:id="rId21" w:anchor="scope-and-definition-of-flos" w:history="1">
        <w:r>
          <w:rPr>
            <w:rStyle w:val="rpl-text-label"/>
            <w:rFonts w:ascii="Arial" w:hAnsi="Arial" w:cs="Arial"/>
            <w:color w:val="1855BF"/>
          </w:rPr>
          <w:t>Scope and definitions of </w:t>
        </w:r>
        <w:r>
          <w:rPr>
            <w:rStyle w:val="rpl-text-icongroup"/>
            <w:rFonts w:ascii="Arial" w:hAnsi="Arial" w:cs="Arial"/>
            <w:color w:val="1855BF"/>
          </w:rPr>
          <w:t>FLOs</w:t>
        </w:r>
      </w:hyperlink>
      <w:r>
        <w:rPr>
          <w:rFonts w:ascii="Arial" w:hAnsi="Arial" w:cs="Arial"/>
          <w:color w:val="011A3C"/>
        </w:rPr>
        <w:t>).</w:t>
      </w:r>
    </w:p>
    <w:p w14:paraId="10C94ADE" w14:textId="77777777" w:rsidR="00B55991" w:rsidRDefault="00B55991" w:rsidP="00B55991">
      <w:r>
        <w:t>For further information on referral considerations and processes, refer to the </w:t>
      </w:r>
      <w:hyperlink r:id="rId22" w:tgtFrame="_blank" w:history="1">
        <w:r>
          <w:rPr>
            <w:rStyle w:val="rpl-text-label"/>
            <w:rFonts w:ascii="Arial" w:hAnsi="Arial" w:cs="Arial"/>
            <w:color w:val="1855BF"/>
          </w:rPr>
          <w:t>Flexible Learning Options Mandatory Guidelines and Procedures</w:t>
        </w:r>
      </w:hyperlink>
      <w:r>
        <w:t>.</w:t>
      </w:r>
    </w:p>
    <w:p w14:paraId="1549D09C" w14:textId="77777777" w:rsidR="00B55991" w:rsidRDefault="00B55991" w:rsidP="00063E9B">
      <w:pPr>
        <w:pStyle w:val="Heading2"/>
      </w:pPr>
      <w:r>
        <w:t>Recording student placement in a FLO</w:t>
      </w:r>
    </w:p>
    <w:p w14:paraId="4BD4BFB9" w14:textId="3887B51A" w:rsidR="00B55991" w:rsidRDefault="00B55991" w:rsidP="00063E9B">
      <w:r>
        <w:t xml:space="preserve">The referring school is required to record student placement </w:t>
      </w:r>
      <w:r w:rsidR="00063E9B">
        <w:t>at The Pavilion School</w:t>
      </w:r>
      <w:r>
        <w:t xml:space="preserve"> in CASES21. Please refer to the guidance section for more information: </w:t>
      </w:r>
      <w:hyperlink r:id="rId23" w:history="1">
        <w:r>
          <w:rPr>
            <w:rStyle w:val="rpl-text-label"/>
            <w:rFonts w:ascii="Arial" w:hAnsi="Arial" w:cs="Arial"/>
            <w:color w:val="1855BF"/>
          </w:rPr>
          <w:t>Student referrals to Flexible Learning Options</w:t>
        </w:r>
      </w:hyperlink>
      <w:r>
        <w:t>.</w:t>
      </w:r>
    </w:p>
    <w:p w14:paraId="61417747" w14:textId="77777777" w:rsidR="005045F8" w:rsidRDefault="005045F8" w:rsidP="00A2783C">
      <w:pPr>
        <w:pStyle w:val="Heading2"/>
      </w:pPr>
    </w:p>
    <w:p w14:paraId="6AA667EB" w14:textId="24C0F618" w:rsidR="00A2783C" w:rsidRDefault="005045F8" w:rsidP="00A2783C">
      <w:pPr>
        <w:pStyle w:val="Heading2"/>
      </w:pPr>
      <w:r>
        <w:t>T</w:t>
      </w:r>
      <w:r w:rsidR="00556BA7">
        <w:t>ransitions,</w:t>
      </w:r>
      <w:r w:rsidR="00063E9B">
        <w:t xml:space="preserve"> </w:t>
      </w:r>
      <w:r>
        <w:t xml:space="preserve">Intake, Learning </w:t>
      </w:r>
      <w:r w:rsidR="00063E9B">
        <w:t xml:space="preserve">and </w:t>
      </w:r>
      <w:r>
        <w:t>P</w:t>
      </w:r>
      <w:r w:rsidR="00063E9B">
        <w:t>athways</w:t>
      </w:r>
    </w:p>
    <w:p w14:paraId="621E6EBF" w14:textId="5BEB7D34" w:rsidR="00143D96" w:rsidRDefault="00143D96" w:rsidP="00A2783C">
      <w:r>
        <w:t>Where a government</w:t>
      </w:r>
      <w:r w:rsidR="00C52DF4">
        <w:t xml:space="preserve">, Catholic or independent school makes a referral for a student between the day following the Government School Census date (approx. 28 February) and the end of </w:t>
      </w:r>
      <w:r w:rsidR="00C52DF4">
        <w:lastRenderedPageBreak/>
        <w:t>Term 2 of the same year, and that referral results in a successful transition to The Pavilion School, the referring school is expected to contribute up to 50% of the students Core Allocation (or equivalent) funding to support transition, wellbeing and health services accessible at The Pavilion School for the student.</w:t>
      </w:r>
    </w:p>
    <w:p w14:paraId="20151379" w14:textId="447BF2CD" w:rsidR="00A2783C" w:rsidRDefault="00A2783C" w:rsidP="00A2783C">
      <w:r>
        <w:t>Enrolment into The Pavilion School involves a series of intake meetings.</w:t>
      </w:r>
    </w:p>
    <w:p w14:paraId="1300F19C" w14:textId="307D99E1" w:rsidR="00A2783C" w:rsidRDefault="00A2783C" w:rsidP="00A2783C">
      <w:r>
        <w:t>Every TPS Student will have an</w:t>
      </w:r>
      <w:commentRangeStart w:id="2"/>
      <w:r>
        <w:t xml:space="preserve"> </w:t>
      </w:r>
      <w:r w:rsidR="00C40783">
        <w:t>Individual Education Plan (</w:t>
      </w:r>
      <w:r>
        <w:t>IEP</w:t>
      </w:r>
      <w:r w:rsidR="00C40783">
        <w:t>)</w:t>
      </w:r>
      <w:r>
        <w:t xml:space="preserve"> </w:t>
      </w:r>
      <w:commentRangeEnd w:id="2"/>
      <w:r w:rsidR="00E92D86">
        <w:rPr>
          <w:rStyle w:val="CommentReference"/>
        </w:rPr>
        <w:commentReference w:id="2"/>
      </w:r>
      <w:r>
        <w:t xml:space="preserve">developed with them and their families </w:t>
      </w:r>
      <w:r w:rsidR="00C40783">
        <w:t>within ten weeks of enrolment</w:t>
      </w:r>
      <w:commentRangeStart w:id="3"/>
      <w:r>
        <w:t>.</w:t>
      </w:r>
      <w:commentRangeEnd w:id="3"/>
      <w:r w:rsidR="00845406">
        <w:rPr>
          <w:rStyle w:val="CommentReference"/>
        </w:rPr>
        <w:commentReference w:id="3"/>
      </w:r>
    </w:p>
    <w:p w14:paraId="76888163" w14:textId="77777777" w:rsidR="00A2783C" w:rsidRDefault="00A2783C" w:rsidP="00A2783C">
      <w:r>
        <w:t>The Pavilion School will also undertake regular </w:t>
      </w:r>
      <w:hyperlink r:id="rId24" w:history="1">
        <w:r>
          <w:rPr>
            <w:rStyle w:val="rpl-text-label"/>
            <w:rFonts w:ascii="Arial" w:hAnsi="Arial" w:cs="Arial"/>
            <w:color w:val="1855BF"/>
          </w:rPr>
          <w:t>Student Support Group (SSG)</w:t>
        </w:r>
      </w:hyperlink>
      <w:r>
        <w:t> meetings for every student.</w:t>
      </w:r>
    </w:p>
    <w:p w14:paraId="1C285175" w14:textId="3BFB0F8A" w:rsidR="00063E9B" w:rsidRDefault="00063E9B" w:rsidP="00063E9B">
      <w:r>
        <w:t>The Pavilion School will prioritise the achievement of meaningful education or employment pathways for students</w:t>
      </w:r>
      <w:r w:rsidR="00871BF4">
        <w:t xml:space="preserve"> both during </w:t>
      </w:r>
      <w:r w:rsidR="00371BCF">
        <w:t>student’s</w:t>
      </w:r>
      <w:r w:rsidR="00871BF4">
        <w:t xml:space="preserve"> time at TPS and</w:t>
      </w:r>
      <w:r>
        <w:t xml:space="preserve"> beyond the program. </w:t>
      </w:r>
      <w:r w:rsidR="00F50254">
        <w:t>The Pavilion School will</w:t>
      </w:r>
      <w:r>
        <w:t xml:space="preserve"> have a clear transition plan for every student documented in their IEP. </w:t>
      </w:r>
    </w:p>
    <w:p w14:paraId="51C9BBF0" w14:textId="3F4ED24C" w:rsidR="00063E9B" w:rsidRDefault="00A2783C" w:rsidP="00F50254">
      <w:r>
        <w:t>The Pavilion School (Charles La Trobe College)</w:t>
      </w:r>
      <w:r w:rsidR="00063E9B">
        <w:t xml:space="preserve"> </w:t>
      </w:r>
      <w:r>
        <w:t>will</w:t>
      </w:r>
      <w:r w:rsidR="00063E9B">
        <w:t xml:space="preserve"> advise the referring school once a student placement ends.</w:t>
      </w:r>
    </w:p>
    <w:p w14:paraId="68087EDD" w14:textId="5CBAA572" w:rsidR="00063E9B" w:rsidRDefault="00063E9B" w:rsidP="00A2783C">
      <w:r>
        <w:t>For detailed guidance on supporting transition at different school levels, refer to the Flexible Learning Options Mandatory Guidelines and Procedures.</w:t>
      </w:r>
    </w:p>
    <w:p w14:paraId="696583EE" w14:textId="11F46662" w:rsidR="00221648" w:rsidRPr="005B3153" w:rsidRDefault="00221648" w:rsidP="00371BCF">
      <w:pPr>
        <w:pStyle w:val="Heading1"/>
      </w:pPr>
      <w:r w:rsidRPr="00063E9B">
        <w:t>COMMUNICATION</w:t>
      </w:r>
    </w:p>
    <w:p w14:paraId="2A343486" w14:textId="1B6303FB" w:rsidR="005D0183" w:rsidRPr="00276E12" w:rsidRDefault="00221648" w:rsidP="00276E12">
      <w:r w:rsidRPr="00276E12">
        <w:t xml:space="preserve">This policy will be communicated to </w:t>
      </w:r>
      <w:r w:rsidR="00063E9B" w:rsidRPr="00276E12">
        <w:t xml:space="preserve">requesting </w:t>
      </w:r>
      <w:r w:rsidRPr="00276E12">
        <w:t xml:space="preserve">in the following </w:t>
      </w:r>
      <w:proofErr w:type="gramStart"/>
      <w:r w:rsidRPr="00276E12">
        <w:t xml:space="preserve">ways </w:t>
      </w:r>
      <w:r w:rsidR="00A35CFA" w:rsidRPr="00276E12">
        <w:t>.</w:t>
      </w:r>
      <w:proofErr w:type="gramEnd"/>
      <w:r w:rsidR="00A35CFA" w:rsidRPr="00276E12">
        <w:t xml:space="preserve">  </w:t>
      </w:r>
    </w:p>
    <w:p w14:paraId="7D40C6DA" w14:textId="32898621" w:rsidR="005D0183" w:rsidRPr="00276E12" w:rsidRDefault="005D0183" w:rsidP="00276E12">
      <w:pPr>
        <w:pStyle w:val="ListParagraph"/>
        <w:numPr>
          <w:ilvl w:val="0"/>
          <w:numId w:val="44"/>
        </w:numPr>
      </w:pPr>
      <w:r w:rsidRPr="00276E12">
        <w:t>Available publicly on our school’s website</w:t>
      </w:r>
    </w:p>
    <w:p w14:paraId="2D1EE4F1" w14:textId="77777777" w:rsidR="00221648" w:rsidRPr="00276E12" w:rsidRDefault="00221648" w:rsidP="00276E12">
      <w:pPr>
        <w:pStyle w:val="ListParagraph"/>
        <w:numPr>
          <w:ilvl w:val="0"/>
          <w:numId w:val="44"/>
        </w:numPr>
      </w:pPr>
      <w:r w:rsidRPr="00276E12">
        <w:t xml:space="preserve">Included in transition and enrolment </w:t>
      </w:r>
      <w:proofErr w:type="gramStart"/>
      <w:r w:rsidRPr="00276E12">
        <w:t>packs</w:t>
      </w:r>
      <w:proofErr w:type="gramEnd"/>
    </w:p>
    <w:p w14:paraId="0880D83C" w14:textId="6261B375" w:rsidR="00221648" w:rsidRPr="00276E12" w:rsidRDefault="00221648" w:rsidP="00276E12">
      <w:pPr>
        <w:pStyle w:val="ListParagraph"/>
        <w:numPr>
          <w:ilvl w:val="0"/>
          <w:numId w:val="44"/>
        </w:numPr>
      </w:pPr>
      <w:r w:rsidRPr="00276E12">
        <w:t xml:space="preserve">Made available in hard copy from school administration upon </w:t>
      </w:r>
      <w:proofErr w:type="gramStart"/>
      <w:r w:rsidRPr="00276E12">
        <w:t>request</w:t>
      </w:r>
      <w:proofErr w:type="gramEnd"/>
    </w:p>
    <w:p w14:paraId="592E806B" w14:textId="2B21E300" w:rsidR="00221648" w:rsidRPr="005B3153" w:rsidRDefault="00221648" w:rsidP="00371BCF">
      <w:pPr>
        <w:pStyle w:val="Heading1"/>
        <w:rPr>
          <w:rFonts w:eastAsiaTheme="minorEastAsia"/>
        </w:rPr>
      </w:pPr>
      <w:r w:rsidRPr="005B3153">
        <w:rPr>
          <w:rFonts w:eastAsiaTheme="minorEastAsia"/>
        </w:rPr>
        <w:t xml:space="preserve">POLICY </w:t>
      </w:r>
      <w:r w:rsidRPr="00F50254">
        <w:t>REVIEW</w:t>
      </w:r>
      <w:r w:rsidRPr="005B3153">
        <w:rPr>
          <w:rFonts w:eastAsiaTheme="minorEastAsia"/>
        </w:rPr>
        <w:t xml:space="preserve"> AND APPROVAL</w:t>
      </w:r>
    </w:p>
    <w:tbl>
      <w:tblPr>
        <w:tblStyle w:val="TableGrid"/>
        <w:tblW w:w="0" w:type="auto"/>
        <w:tblLayout w:type="fixed"/>
        <w:tblLook w:val="06A0" w:firstRow="1" w:lastRow="0" w:firstColumn="1" w:lastColumn="0" w:noHBand="1" w:noVBand="1"/>
      </w:tblPr>
      <w:tblGrid>
        <w:gridCol w:w="2925"/>
        <w:gridCol w:w="6075"/>
      </w:tblGrid>
      <w:tr w:rsidR="00221648" w:rsidRPr="005B3153" w14:paraId="4180BE46" w14:textId="77777777" w:rsidTr="007D3437">
        <w:tc>
          <w:tcPr>
            <w:tcW w:w="2925" w:type="dxa"/>
          </w:tcPr>
          <w:p w14:paraId="2090AC0A" w14:textId="395F8D77" w:rsidR="00221648" w:rsidRPr="005B3153" w:rsidRDefault="00221648" w:rsidP="00CB16C9">
            <w:bookmarkStart w:id="4" w:name="_Hlk72158886"/>
            <w:r w:rsidRPr="005B3153">
              <w:t>Policy last reviewed</w:t>
            </w:r>
          </w:p>
        </w:tc>
        <w:tc>
          <w:tcPr>
            <w:tcW w:w="6075" w:type="dxa"/>
          </w:tcPr>
          <w:p w14:paraId="6924BD58" w14:textId="20D091F2" w:rsidR="00221648" w:rsidRPr="005B3153" w:rsidRDefault="00FE33ED" w:rsidP="00CB16C9">
            <w:r>
              <w:t>July</w:t>
            </w:r>
            <w:r w:rsidR="005B3153">
              <w:t xml:space="preserve"> 2023</w:t>
            </w:r>
          </w:p>
        </w:tc>
      </w:tr>
      <w:tr w:rsidR="00221648" w:rsidRPr="005B3153" w14:paraId="369B60AB" w14:textId="77777777" w:rsidTr="007D3437">
        <w:tc>
          <w:tcPr>
            <w:tcW w:w="2925" w:type="dxa"/>
          </w:tcPr>
          <w:p w14:paraId="03104D17" w14:textId="3B4589C7" w:rsidR="00221648" w:rsidRPr="005B3153" w:rsidRDefault="00221648" w:rsidP="00CB16C9">
            <w:pPr>
              <w:rPr>
                <w:rFonts w:eastAsia="Calibri" w:cs="Calibri"/>
              </w:rPr>
            </w:pPr>
            <w:r w:rsidRPr="005B3153">
              <w:rPr>
                <w:lang w:eastAsia="en-AU"/>
              </w:rPr>
              <w:t>Consultation</w:t>
            </w:r>
          </w:p>
        </w:tc>
        <w:tc>
          <w:tcPr>
            <w:tcW w:w="6075" w:type="dxa"/>
          </w:tcPr>
          <w:p w14:paraId="654E2F5D" w14:textId="20FD4085" w:rsidR="00703471" w:rsidRPr="00703471" w:rsidRDefault="00703471" w:rsidP="00CB16C9">
            <w:pPr>
              <w:rPr>
                <w:lang w:val="en-GB" w:eastAsia="en-AU"/>
              </w:rPr>
            </w:pPr>
            <w:r>
              <w:rPr>
                <w:lang w:eastAsia="en-AU"/>
              </w:rPr>
              <w:t xml:space="preserve">Consultation with </w:t>
            </w:r>
            <w:r w:rsidR="00F50254">
              <w:rPr>
                <w:lang w:val="en-GB" w:eastAsia="en-AU"/>
              </w:rPr>
              <w:t>school leaders</w:t>
            </w:r>
          </w:p>
          <w:p w14:paraId="236A0DAD" w14:textId="037BF102" w:rsidR="00221648" w:rsidRPr="005B3153" w:rsidRDefault="00221648" w:rsidP="00CB16C9">
            <w:pPr>
              <w:rPr>
                <w:rFonts w:eastAsia="Calibri" w:cs="Calibri"/>
              </w:rPr>
            </w:pPr>
            <w:r w:rsidRPr="005B3153">
              <w:rPr>
                <w:lang w:eastAsia="en-AU"/>
              </w:rPr>
              <w:t xml:space="preserve"> </w:t>
            </w:r>
          </w:p>
        </w:tc>
      </w:tr>
      <w:tr w:rsidR="00221648" w:rsidRPr="005B3153" w14:paraId="4A0F8287" w14:textId="77777777" w:rsidTr="007D3437">
        <w:tc>
          <w:tcPr>
            <w:tcW w:w="2925" w:type="dxa"/>
          </w:tcPr>
          <w:p w14:paraId="01D86128" w14:textId="77777777" w:rsidR="00221648" w:rsidRPr="005B3153" w:rsidRDefault="00221648" w:rsidP="00CB16C9">
            <w:r w:rsidRPr="005B3153">
              <w:t>Approved by</w:t>
            </w:r>
          </w:p>
        </w:tc>
        <w:tc>
          <w:tcPr>
            <w:tcW w:w="6075" w:type="dxa"/>
          </w:tcPr>
          <w:p w14:paraId="6513F79F" w14:textId="35BF39C9" w:rsidR="00221648" w:rsidRPr="005B3153" w:rsidRDefault="00221648" w:rsidP="00CB16C9">
            <w:r w:rsidRPr="005B3153">
              <w:t>Principal</w:t>
            </w:r>
            <w:r w:rsidR="00A26D91" w:rsidRPr="005B3153">
              <w:t xml:space="preserve"> </w:t>
            </w:r>
            <w:r w:rsidR="00371BCF">
              <w:t>– The Pavilion School</w:t>
            </w:r>
          </w:p>
        </w:tc>
      </w:tr>
      <w:tr w:rsidR="00221648" w:rsidRPr="005B3153" w14:paraId="74B5F932" w14:textId="77777777" w:rsidTr="007D3437">
        <w:tc>
          <w:tcPr>
            <w:tcW w:w="2925" w:type="dxa"/>
          </w:tcPr>
          <w:p w14:paraId="500F57DF" w14:textId="77777777" w:rsidR="00221648" w:rsidRPr="005B3153" w:rsidRDefault="00221648" w:rsidP="00CB16C9">
            <w:r w:rsidRPr="005B3153">
              <w:t>Next scheduled review date</w:t>
            </w:r>
          </w:p>
        </w:tc>
        <w:tc>
          <w:tcPr>
            <w:tcW w:w="6075" w:type="dxa"/>
          </w:tcPr>
          <w:p w14:paraId="77AAF640" w14:textId="1609AC3F" w:rsidR="00221648" w:rsidRPr="005B3153" w:rsidRDefault="00FE33ED" w:rsidP="00CB16C9">
            <w:r>
              <w:t>July</w:t>
            </w:r>
            <w:r w:rsidR="00A54F06">
              <w:t xml:space="preserve"> 2025</w:t>
            </w:r>
          </w:p>
        </w:tc>
      </w:tr>
      <w:bookmarkEnd w:id="4"/>
    </w:tbl>
    <w:p w14:paraId="1BCB82CC" w14:textId="77777777" w:rsidR="00221648" w:rsidRPr="005B3153" w:rsidRDefault="00221648" w:rsidP="00CB16C9"/>
    <w:p w14:paraId="573FB3CA" w14:textId="752821D0" w:rsidR="0051662D" w:rsidRPr="005B3153" w:rsidRDefault="0051662D" w:rsidP="00CB16C9"/>
    <w:sectPr w:rsidR="0051662D" w:rsidRPr="005B3153">
      <w:headerReference w:type="default" r:id="rId25"/>
      <w:footerReference w:type="default" r:id="rId2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sephine Howie" w:date="2023-07-20T19:08:00Z" w:initials="JH">
    <w:p w14:paraId="6598AE9F" w14:textId="77777777" w:rsidR="00556BA7" w:rsidRDefault="00556BA7" w:rsidP="008517C5">
      <w:pPr>
        <w:pStyle w:val="CommentText"/>
        <w:jc w:val="left"/>
      </w:pPr>
      <w:r>
        <w:rPr>
          <w:rStyle w:val="CommentReference"/>
        </w:rPr>
        <w:annotationRef/>
      </w:r>
      <w:r>
        <w:rPr>
          <w:lang w:val="en-US"/>
        </w:rPr>
        <w:t>Eligibility is linked to disengagement rather than at risk of disengagement. So it might need to read more like that?</w:t>
      </w:r>
    </w:p>
  </w:comment>
  <w:comment w:id="2" w:author="Josephine Howie" w:date="2023-07-20T19:09:00Z" w:initials="JH">
    <w:p w14:paraId="2C658198" w14:textId="77777777" w:rsidR="00E92D86" w:rsidRDefault="00E92D86" w:rsidP="00B70228">
      <w:pPr>
        <w:pStyle w:val="CommentText"/>
        <w:jc w:val="left"/>
      </w:pPr>
      <w:r>
        <w:rPr>
          <w:rStyle w:val="CommentReference"/>
        </w:rPr>
        <w:annotationRef/>
      </w:r>
      <w:r>
        <w:rPr>
          <w:lang w:val="en-US"/>
        </w:rPr>
        <w:t>Individual Education Plan</w:t>
      </w:r>
    </w:p>
  </w:comment>
  <w:comment w:id="3" w:author="Josephine Howie" w:date="2023-07-20T19:10:00Z" w:initials="JH">
    <w:p w14:paraId="22657D78" w14:textId="77777777" w:rsidR="00845406" w:rsidRDefault="00845406" w:rsidP="001C1C8A">
      <w:pPr>
        <w:pStyle w:val="CommentText"/>
        <w:jc w:val="left"/>
      </w:pPr>
      <w:r>
        <w:rPr>
          <w:rStyle w:val="CommentReference"/>
        </w:rPr>
        <w:annotationRef/>
      </w:r>
      <w:r>
        <w:rPr>
          <w:lang w:val="en-US"/>
        </w:rPr>
        <w:t>Soon after being enrolled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98AE9F" w15:done="0"/>
  <w15:commentEx w15:paraId="2C658198" w15:done="0"/>
  <w15:commentEx w15:paraId="22657D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404A2" w16cex:dateUtc="2023-07-20T09:08:00Z"/>
  <w16cex:commentExtensible w16cex:durableId="286404F8" w16cex:dateUtc="2023-07-20T09:09:00Z"/>
  <w16cex:commentExtensible w16cex:durableId="28640529" w16cex:dateUtc="2023-07-20T0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98AE9F" w16cid:durableId="286404A2"/>
  <w16cid:commentId w16cid:paraId="2C658198" w16cid:durableId="286404F8"/>
  <w16cid:commentId w16cid:paraId="22657D78" w16cid:durableId="286405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4C694" w14:textId="77777777" w:rsidR="00FF4B11" w:rsidRDefault="00FF4B11" w:rsidP="00CB16C9">
      <w:r>
        <w:separator/>
      </w:r>
    </w:p>
  </w:endnote>
  <w:endnote w:type="continuationSeparator" w:id="0">
    <w:p w14:paraId="6717E272" w14:textId="77777777" w:rsidR="00FF4B11" w:rsidRDefault="00FF4B11" w:rsidP="00CB16C9">
      <w:r>
        <w:continuationSeparator/>
      </w:r>
    </w:p>
  </w:endnote>
  <w:endnote w:type="continuationNotice" w:id="1">
    <w:p w14:paraId="1CC21DF9" w14:textId="77777777" w:rsidR="00FF4B11" w:rsidRDefault="00FF4B11" w:rsidP="00CB1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03338"/>
      <w:docPartObj>
        <w:docPartGallery w:val="Page Numbers (Bottom of Page)"/>
        <w:docPartUnique/>
      </w:docPartObj>
    </w:sdtPr>
    <w:sdtEndPr>
      <w:rPr>
        <w:noProof/>
      </w:rPr>
    </w:sdtEndPr>
    <w:sdtContent>
      <w:p w14:paraId="047FB8EA" w14:textId="3068B36C" w:rsidR="00E72A9C" w:rsidRDefault="00E72A9C" w:rsidP="00CB16C9">
        <w:pPr>
          <w:pStyle w:val="Footer"/>
        </w:pPr>
        <w:r>
          <w:fldChar w:fldCharType="begin"/>
        </w:r>
        <w:r>
          <w:instrText xml:space="preserve"> PAGE   \* MERGEFORMAT </w:instrText>
        </w:r>
        <w:r>
          <w:fldChar w:fldCharType="separate"/>
        </w:r>
        <w:r>
          <w:rPr>
            <w:noProof/>
          </w:rPr>
          <w:t>2</w:t>
        </w:r>
        <w:r>
          <w:rPr>
            <w:noProof/>
          </w:rPr>
          <w:fldChar w:fldCharType="end"/>
        </w:r>
      </w:p>
    </w:sdtContent>
  </w:sdt>
  <w:p w14:paraId="297C9072" w14:textId="77777777" w:rsidR="00E72A9C" w:rsidRDefault="00E72A9C" w:rsidP="00CB1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02D11" w14:textId="77777777" w:rsidR="00FF4B11" w:rsidRDefault="00FF4B11" w:rsidP="00CB16C9">
      <w:r>
        <w:separator/>
      </w:r>
    </w:p>
  </w:footnote>
  <w:footnote w:type="continuationSeparator" w:id="0">
    <w:p w14:paraId="7974442E" w14:textId="77777777" w:rsidR="00FF4B11" w:rsidRDefault="00FF4B11" w:rsidP="00CB16C9">
      <w:r>
        <w:continuationSeparator/>
      </w:r>
    </w:p>
  </w:footnote>
  <w:footnote w:type="continuationNotice" w:id="1">
    <w:p w14:paraId="531E21FF" w14:textId="77777777" w:rsidR="00FF4B11" w:rsidRDefault="00FF4B11" w:rsidP="00CB16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7128" w14:textId="77777777" w:rsidR="00C819E3" w:rsidRDefault="00C819E3" w:rsidP="00CB16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6F3A"/>
    <w:multiLevelType w:val="hybridMultilevel"/>
    <w:tmpl w:val="AA20201A"/>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5858D6"/>
    <w:multiLevelType w:val="hybridMultilevel"/>
    <w:tmpl w:val="C31A602C"/>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227AD1"/>
    <w:multiLevelType w:val="hybridMultilevel"/>
    <w:tmpl w:val="2422B3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C51B79"/>
    <w:multiLevelType w:val="hybridMultilevel"/>
    <w:tmpl w:val="6F7C7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8B4B86"/>
    <w:multiLevelType w:val="hybridMultilevel"/>
    <w:tmpl w:val="0CBE4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7B6FAB"/>
    <w:multiLevelType w:val="hybridMultilevel"/>
    <w:tmpl w:val="69020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83AAA"/>
    <w:multiLevelType w:val="hybridMultilevel"/>
    <w:tmpl w:val="7C182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7B6C1B"/>
    <w:multiLevelType w:val="hybridMultilevel"/>
    <w:tmpl w:val="A06E0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09703A"/>
    <w:multiLevelType w:val="hybridMultilevel"/>
    <w:tmpl w:val="468CE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A55551A"/>
    <w:multiLevelType w:val="hybridMultilevel"/>
    <w:tmpl w:val="66D45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7C0189"/>
    <w:multiLevelType w:val="hybridMultilevel"/>
    <w:tmpl w:val="2682A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EA6AF3"/>
    <w:multiLevelType w:val="multilevel"/>
    <w:tmpl w:val="8294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A44143"/>
    <w:multiLevelType w:val="hybridMultilevel"/>
    <w:tmpl w:val="EF728A98"/>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FC5857"/>
    <w:multiLevelType w:val="hybridMultilevel"/>
    <w:tmpl w:val="8236D7B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1F147601"/>
    <w:multiLevelType w:val="multilevel"/>
    <w:tmpl w:val="8294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7B74FC"/>
    <w:multiLevelType w:val="hybridMultilevel"/>
    <w:tmpl w:val="678A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7B4CE7"/>
    <w:multiLevelType w:val="multilevel"/>
    <w:tmpl w:val="119A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B76BFC"/>
    <w:multiLevelType w:val="hybridMultilevel"/>
    <w:tmpl w:val="97760AA8"/>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BEF18AC"/>
    <w:multiLevelType w:val="hybridMultilevel"/>
    <w:tmpl w:val="569648E2"/>
    <w:lvl w:ilvl="0" w:tplc="3380008C">
      <w:numFmt w:val="bullet"/>
      <w:lvlText w:val=""/>
      <w:lvlJc w:val="left"/>
      <w:pPr>
        <w:ind w:left="720" w:hanging="360"/>
      </w:pPr>
      <w:rPr>
        <w:rFonts w:ascii="Symbol" w:eastAsiaTheme="minorHAnsi" w:hAnsi="Symbol" w:cstheme="minorBidi"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741F0A"/>
    <w:multiLevelType w:val="hybridMultilevel"/>
    <w:tmpl w:val="D8528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543919"/>
    <w:multiLevelType w:val="hybridMultilevel"/>
    <w:tmpl w:val="B944D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A73691"/>
    <w:multiLevelType w:val="hybridMultilevel"/>
    <w:tmpl w:val="CC3831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58D1EDE"/>
    <w:multiLevelType w:val="hybridMultilevel"/>
    <w:tmpl w:val="B630C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7D52DEA"/>
    <w:multiLevelType w:val="hybridMultilevel"/>
    <w:tmpl w:val="38767190"/>
    <w:lvl w:ilvl="0" w:tplc="0C090001">
      <w:start w:val="1"/>
      <w:numFmt w:val="bullet"/>
      <w:lvlText w:val=""/>
      <w:lvlJc w:val="left"/>
      <w:pPr>
        <w:ind w:left="772" w:hanging="360"/>
      </w:pPr>
      <w:rPr>
        <w:rFonts w:ascii="Symbol" w:hAnsi="Symbol" w:hint="default"/>
      </w:rPr>
    </w:lvl>
    <w:lvl w:ilvl="1" w:tplc="0C090003">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24" w15:restartNumberingAfterBreak="0">
    <w:nsid w:val="3889119E"/>
    <w:multiLevelType w:val="multilevel"/>
    <w:tmpl w:val="8294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3612A9"/>
    <w:multiLevelType w:val="hybridMultilevel"/>
    <w:tmpl w:val="1160EB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6D3B9A"/>
    <w:multiLevelType w:val="hybridMultilevel"/>
    <w:tmpl w:val="71CC1216"/>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37B773D"/>
    <w:multiLevelType w:val="multilevel"/>
    <w:tmpl w:val="8294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FB0297"/>
    <w:multiLevelType w:val="hybridMultilevel"/>
    <w:tmpl w:val="A77CBE66"/>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0" w15:restartNumberingAfterBreak="0">
    <w:nsid w:val="49FF79AD"/>
    <w:multiLevelType w:val="hybridMultilevel"/>
    <w:tmpl w:val="83F4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32" w15:restartNumberingAfterBreak="0">
    <w:nsid w:val="4DB42BEA"/>
    <w:multiLevelType w:val="hybridMultilevel"/>
    <w:tmpl w:val="29948C5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69402638">
      <w:numFmt w:val="bullet"/>
      <w:lvlText w:val="-"/>
      <w:lvlJc w:val="left"/>
      <w:pPr>
        <w:ind w:left="2880" w:hanging="720"/>
      </w:pPr>
      <w:rPr>
        <w:rFonts w:ascii="Calibri" w:eastAsiaTheme="minorHAnsi" w:hAnsi="Calibri" w:cs="Calibri"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57B6300C"/>
    <w:multiLevelType w:val="hybridMultilevel"/>
    <w:tmpl w:val="F864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CB1122"/>
    <w:multiLevelType w:val="hybridMultilevel"/>
    <w:tmpl w:val="17ACA7A6"/>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5D72AA"/>
    <w:multiLevelType w:val="hybridMultilevel"/>
    <w:tmpl w:val="74ECF8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A6D5D91"/>
    <w:multiLevelType w:val="hybridMultilevel"/>
    <w:tmpl w:val="B41AB992"/>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C4218A9"/>
    <w:multiLevelType w:val="hybridMultilevel"/>
    <w:tmpl w:val="8920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DB83886"/>
    <w:multiLevelType w:val="hybridMultilevel"/>
    <w:tmpl w:val="5FB8A1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32D74DF"/>
    <w:multiLevelType w:val="hybridMultilevel"/>
    <w:tmpl w:val="B1EC4B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0" w15:restartNumberingAfterBreak="0">
    <w:nsid w:val="63B27DE9"/>
    <w:multiLevelType w:val="hybridMultilevel"/>
    <w:tmpl w:val="5BEA8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5E83D06"/>
    <w:multiLevelType w:val="hybridMultilevel"/>
    <w:tmpl w:val="8D06A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B6C4F7D"/>
    <w:multiLevelType w:val="multilevel"/>
    <w:tmpl w:val="45FE7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FCB5AEA"/>
    <w:multiLevelType w:val="hybridMultilevel"/>
    <w:tmpl w:val="1076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97106075">
    <w:abstractNumId w:val="9"/>
  </w:num>
  <w:num w:numId="2" w16cid:durableId="574971033">
    <w:abstractNumId w:val="43"/>
  </w:num>
  <w:num w:numId="3" w16cid:durableId="283854093">
    <w:abstractNumId w:val="3"/>
  </w:num>
  <w:num w:numId="4" w16cid:durableId="1835998067">
    <w:abstractNumId w:val="30"/>
  </w:num>
  <w:num w:numId="5" w16cid:durableId="885485750">
    <w:abstractNumId w:val="15"/>
  </w:num>
  <w:num w:numId="6" w16cid:durableId="664238220">
    <w:abstractNumId w:val="10"/>
  </w:num>
  <w:num w:numId="7" w16cid:durableId="79956389">
    <w:abstractNumId w:val="37"/>
  </w:num>
  <w:num w:numId="8" w16cid:durableId="1838956528">
    <w:abstractNumId w:val="25"/>
  </w:num>
  <w:num w:numId="9" w16cid:durableId="1582787559">
    <w:abstractNumId w:val="2"/>
  </w:num>
  <w:num w:numId="10" w16cid:durableId="1968049263">
    <w:abstractNumId w:val="17"/>
  </w:num>
  <w:num w:numId="11" w16cid:durableId="462622220">
    <w:abstractNumId w:val="32"/>
  </w:num>
  <w:num w:numId="12" w16cid:durableId="1162696714">
    <w:abstractNumId w:val="27"/>
  </w:num>
  <w:num w:numId="13" w16cid:durableId="649359607">
    <w:abstractNumId w:val="19"/>
  </w:num>
  <w:num w:numId="14" w16cid:durableId="2087729655">
    <w:abstractNumId w:val="41"/>
  </w:num>
  <w:num w:numId="15" w16cid:durableId="599291670">
    <w:abstractNumId w:val="40"/>
  </w:num>
  <w:num w:numId="16" w16cid:durableId="543832322">
    <w:abstractNumId w:val="21"/>
  </w:num>
  <w:num w:numId="17" w16cid:durableId="1184976846">
    <w:abstractNumId w:val="16"/>
  </w:num>
  <w:num w:numId="18" w16cid:durableId="1629050202">
    <w:abstractNumId w:val="23"/>
  </w:num>
  <w:num w:numId="19" w16cid:durableId="1387677035">
    <w:abstractNumId w:val="20"/>
  </w:num>
  <w:num w:numId="20" w16cid:durableId="1159808192">
    <w:abstractNumId w:val="38"/>
  </w:num>
  <w:num w:numId="21" w16cid:durableId="2060394155">
    <w:abstractNumId w:val="6"/>
  </w:num>
  <w:num w:numId="22" w16cid:durableId="544216564">
    <w:abstractNumId w:val="39"/>
  </w:num>
  <w:num w:numId="23" w16cid:durableId="890310572">
    <w:abstractNumId w:val="29"/>
  </w:num>
  <w:num w:numId="24" w16cid:durableId="1259410736">
    <w:abstractNumId w:val="1"/>
  </w:num>
  <w:num w:numId="25" w16cid:durableId="633870164">
    <w:abstractNumId w:val="26"/>
  </w:num>
  <w:num w:numId="26" w16cid:durableId="1637371658">
    <w:abstractNumId w:val="36"/>
  </w:num>
  <w:num w:numId="27" w16cid:durableId="90783425">
    <w:abstractNumId w:val="12"/>
  </w:num>
  <w:num w:numId="28" w16cid:durableId="2120030957">
    <w:abstractNumId w:val="34"/>
  </w:num>
  <w:num w:numId="29" w16cid:durableId="214662020">
    <w:abstractNumId w:val="0"/>
  </w:num>
  <w:num w:numId="30" w16cid:durableId="1033769310">
    <w:abstractNumId w:val="22"/>
  </w:num>
  <w:num w:numId="31" w16cid:durableId="704600274">
    <w:abstractNumId w:val="35"/>
  </w:num>
  <w:num w:numId="32" w16cid:durableId="1900241455">
    <w:abstractNumId w:val="18"/>
  </w:num>
  <w:num w:numId="33" w16cid:durableId="578448832">
    <w:abstractNumId w:val="7"/>
  </w:num>
  <w:num w:numId="34" w16cid:durableId="1954819538">
    <w:abstractNumId w:val="13"/>
  </w:num>
  <w:num w:numId="35" w16cid:durableId="1753814195">
    <w:abstractNumId w:val="8"/>
  </w:num>
  <w:num w:numId="36" w16cid:durableId="636106361">
    <w:abstractNumId w:val="31"/>
  </w:num>
  <w:num w:numId="37" w16cid:durableId="234322688">
    <w:abstractNumId w:val="4"/>
  </w:num>
  <w:num w:numId="38" w16cid:durableId="995377779">
    <w:abstractNumId w:val="42"/>
  </w:num>
  <w:num w:numId="39" w16cid:durableId="1956280362">
    <w:abstractNumId w:val="11"/>
  </w:num>
  <w:num w:numId="40" w16cid:durableId="744189129">
    <w:abstractNumId w:val="28"/>
  </w:num>
  <w:num w:numId="41" w16cid:durableId="991953538">
    <w:abstractNumId w:val="24"/>
  </w:num>
  <w:num w:numId="42" w16cid:durableId="1395851955">
    <w:abstractNumId w:val="14"/>
  </w:num>
  <w:num w:numId="43" w16cid:durableId="799684301">
    <w:abstractNumId w:val="5"/>
  </w:num>
  <w:num w:numId="44" w16cid:durableId="2113814974">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phine Howie">
    <w15:presenceInfo w15:providerId="AD" w15:userId="S::Josephine.Howie@education.vic.gov.au::07824ae0-26c5-4fd9-acb5-fbef0a1f5c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xNTcwsrQwNjcyNTNQ0lEKTi0uzszPAykwqgUAS6zOeCwAAAA="/>
  </w:docVars>
  <w:rsids>
    <w:rsidRoot w:val="00626AB7"/>
    <w:rsid w:val="00000BA5"/>
    <w:rsid w:val="00005625"/>
    <w:rsid w:val="000070AB"/>
    <w:rsid w:val="00017315"/>
    <w:rsid w:val="00022383"/>
    <w:rsid w:val="00040040"/>
    <w:rsid w:val="00042AB0"/>
    <w:rsid w:val="000450BC"/>
    <w:rsid w:val="00053CBA"/>
    <w:rsid w:val="00063E9B"/>
    <w:rsid w:val="000648E2"/>
    <w:rsid w:val="0008001F"/>
    <w:rsid w:val="00086722"/>
    <w:rsid w:val="00095665"/>
    <w:rsid w:val="00095C24"/>
    <w:rsid w:val="000A5215"/>
    <w:rsid w:val="000B4C9B"/>
    <w:rsid w:val="000D4526"/>
    <w:rsid w:val="000D66D3"/>
    <w:rsid w:val="000E1BD8"/>
    <w:rsid w:val="000F1EAD"/>
    <w:rsid w:val="00110DA9"/>
    <w:rsid w:val="00112C5E"/>
    <w:rsid w:val="00115688"/>
    <w:rsid w:val="001165E3"/>
    <w:rsid w:val="00127A1C"/>
    <w:rsid w:val="00127EAD"/>
    <w:rsid w:val="00141104"/>
    <w:rsid w:val="00143D96"/>
    <w:rsid w:val="001446F8"/>
    <w:rsid w:val="001548DA"/>
    <w:rsid w:val="00154E6F"/>
    <w:rsid w:val="001577B6"/>
    <w:rsid w:val="00161F2E"/>
    <w:rsid w:val="00164742"/>
    <w:rsid w:val="00165C76"/>
    <w:rsid w:val="00171CA4"/>
    <w:rsid w:val="00173ABC"/>
    <w:rsid w:val="00176708"/>
    <w:rsid w:val="00185B6C"/>
    <w:rsid w:val="00186F26"/>
    <w:rsid w:val="00192167"/>
    <w:rsid w:val="001962F4"/>
    <w:rsid w:val="001A5CBE"/>
    <w:rsid w:val="001B3174"/>
    <w:rsid w:val="001B61EA"/>
    <w:rsid w:val="001C0DC3"/>
    <w:rsid w:val="001C19D7"/>
    <w:rsid w:val="001C421D"/>
    <w:rsid w:val="001F1CC6"/>
    <w:rsid w:val="001F68EA"/>
    <w:rsid w:val="00205DB4"/>
    <w:rsid w:val="00212C43"/>
    <w:rsid w:val="00221188"/>
    <w:rsid w:val="00221648"/>
    <w:rsid w:val="00222D1A"/>
    <w:rsid w:val="002230E2"/>
    <w:rsid w:val="002427E4"/>
    <w:rsid w:val="0025047D"/>
    <w:rsid w:val="00254328"/>
    <w:rsid w:val="00254527"/>
    <w:rsid w:val="00264F00"/>
    <w:rsid w:val="00276E12"/>
    <w:rsid w:val="00284537"/>
    <w:rsid w:val="0028609F"/>
    <w:rsid w:val="00297D06"/>
    <w:rsid w:val="002A74A3"/>
    <w:rsid w:val="002B12E4"/>
    <w:rsid w:val="002B2CD2"/>
    <w:rsid w:val="002C46F6"/>
    <w:rsid w:val="002E49EA"/>
    <w:rsid w:val="002F13FF"/>
    <w:rsid w:val="002F2AB1"/>
    <w:rsid w:val="00302E87"/>
    <w:rsid w:val="003041CF"/>
    <w:rsid w:val="00304C50"/>
    <w:rsid w:val="00327D69"/>
    <w:rsid w:val="00330603"/>
    <w:rsid w:val="003307CE"/>
    <w:rsid w:val="003316E1"/>
    <w:rsid w:val="00335007"/>
    <w:rsid w:val="0033567C"/>
    <w:rsid w:val="0034005C"/>
    <w:rsid w:val="003501B9"/>
    <w:rsid w:val="00350EC1"/>
    <w:rsid w:val="003560CB"/>
    <w:rsid w:val="00364314"/>
    <w:rsid w:val="00371BCF"/>
    <w:rsid w:val="00373323"/>
    <w:rsid w:val="003854F6"/>
    <w:rsid w:val="00394AC5"/>
    <w:rsid w:val="003B48E6"/>
    <w:rsid w:val="003C0FF4"/>
    <w:rsid w:val="003D0383"/>
    <w:rsid w:val="003E3F15"/>
    <w:rsid w:val="003F7B34"/>
    <w:rsid w:val="004058DA"/>
    <w:rsid w:val="00406753"/>
    <w:rsid w:val="00406825"/>
    <w:rsid w:val="00413265"/>
    <w:rsid w:val="004153FA"/>
    <w:rsid w:val="00416478"/>
    <w:rsid w:val="00420082"/>
    <w:rsid w:val="00420BCA"/>
    <w:rsid w:val="00453BD4"/>
    <w:rsid w:val="00457C73"/>
    <w:rsid w:val="00467DBF"/>
    <w:rsid w:val="00471E09"/>
    <w:rsid w:val="00475945"/>
    <w:rsid w:val="00484F5D"/>
    <w:rsid w:val="004867EE"/>
    <w:rsid w:val="00495620"/>
    <w:rsid w:val="004979BB"/>
    <w:rsid w:val="004B2B4F"/>
    <w:rsid w:val="004C2F03"/>
    <w:rsid w:val="004C7253"/>
    <w:rsid w:val="004D7EAD"/>
    <w:rsid w:val="004E3A28"/>
    <w:rsid w:val="004E61F9"/>
    <w:rsid w:val="004E77C8"/>
    <w:rsid w:val="004F1908"/>
    <w:rsid w:val="004F48E9"/>
    <w:rsid w:val="005030B3"/>
    <w:rsid w:val="005045F8"/>
    <w:rsid w:val="00513D3C"/>
    <w:rsid w:val="0051662D"/>
    <w:rsid w:val="0053362D"/>
    <w:rsid w:val="0053426D"/>
    <w:rsid w:val="00534F24"/>
    <w:rsid w:val="00541C37"/>
    <w:rsid w:val="00543B58"/>
    <w:rsid w:val="00545594"/>
    <w:rsid w:val="00556674"/>
    <w:rsid w:val="00556BA7"/>
    <w:rsid w:val="00557905"/>
    <w:rsid w:val="00563073"/>
    <w:rsid w:val="00580D27"/>
    <w:rsid w:val="0058299C"/>
    <w:rsid w:val="00584DB3"/>
    <w:rsid w:val="005938C1"/>
    <w:rsid w:val="00593A13"/>
    <w:rsid w:val="00594BA4"/>
    <w:rsid w:val="00596609"/>
    <w:rsid w:val="005A2B6B"/>
    <w:rsid w:val="005A5C39"/>
    <w:rsid w:val="005A7810"/>
    <w:rsid w:val="005B3153"/>
    <w:rsid w:val="005C1CB3"/>
    <w:rsid w:val="005D0183"/>
    <w:rsid w:val="005E518E"/>
    <w:rsid w:val="005E6800"/>
    <w:rsid w:val="005E6A04"/>
    <w:rsid w:val="005F2C12"/>
    <w:rsid w:val="005F7DC4"/>
    <w:rsid w:val="006008E7"/>
    <w:rsid w:val="00600937"/>
    <w:rsid w:val="00607D51"/>
    <w:rsid w:val="00614C3C"/>
    <w:rsid w:val="0061703F"/>
    <w:rsid w:val="006205C2"/>
    <w:rsid w:val="006216BA"/>
    <w:rsid w:val="00623EC7"/>
    <w:rsid w:val="00626AB7"/>
    <w:rsid w:val="00631015"/>
    <w:rsid w:val="00633592"/>
    <w:rsid w:val="006433B6"/>
    <w:rsid w:val="00644ACC"/>
    <w:rsid w:val="00650385"/>
    <w:rsid w:val="0065192E"/>
    <w:rsid w:val="00661DE8"/>
    <w:rsid w:val="00662E81"/>
    <w:rsid w:val="006633D2"/>
    <w:rsid w:val="0066529C"/>
    <w:rsid w:val="00666FF2"/>
    <w:rsid w:val="006702EE"/>
    <w:rsid w:val="00670766"/>
    <w:rsid w:val="00672E84"/>
    <w:rsid w:val="00680736"/>
    <w:rsid w:val="0068732F"/>
    <w:rsid w:val="006902B5"/>
    <w:rsid w:val="0069341C"/>
    <w:rsid w:val="006A1D20"/>
    <w:rsid w:val="006B1D12"/>
    <w:rsid w:val="006B7205"/>
    <w:rsid w:val="006D0247"/>
    <w:rsid w:val="006D0517"/>
    <w:rsid w:val="006E360F"/>
    <w:rsid w:val="006E5021"/>
    <w:rsid w:val="006F216B"/>
    <w:rsid w:val="006F295C"/>
    <w:rsid w:val="007012A8"/>
    <w:rsid w:val="00703471"/>
    <w:rsid w:val="00704C78"/>
    <w:rsid w:val="00713C64"/>
    <w:rsid w:val="00726FDD"/>
    <w:rsid w:val="00727032"/>
    <w:rsid w:val="00734D4D"/>
    <w:rsid w:val="0073747B"/>
    <w:rsid w:val="00743D5E"/>
    <w:rsid w:val="0074557E"/>
    <w:rsid w:val="007525C4"/>
    <w:rsid w:val="0075456A"/>
    <w:rsid w:val="00765E25"/>
    <w:rsid w:val="00767958"/>
    <w:rsid w:val="00771DBB"/>
    <w:rsid w:val="007748DB"/>
    <w:rsid w:val="007841E9"/>
    <w:rsid w:val="0079088A"/>
    <w:rsid w:val="00791A1A"/>
    <w:rsid w:val="00792E15"/>
    <w:rsid w:val="00796454"/>
    <w:rsid w:val="007B0082"/>
    <w:rsid w:val="007D052C"/>
    <w:rsid w:val="007D0989"/>
    <w:rsid w:val="007E0DAD"/>
    <w:rsid w:val="007E4660"/>
    <w:rsid w:val="007F1405"/>
    <w:rsid w:val="00821A57"/>
    <w:rsid w:val="00823752"/>
    <w:rsid w:val="00826F5A"/>
    <w:rsid w:val="00833739"/>
    <w:rsid w:val="00843659"/>
    <w:rsid w:val="00845406"/>
    <w:rsid w:val="00845D64"/>
    <w:rsid w:val="00846E26"/>
    <w:rsid w:val="00847442"/>
    <w:rsid w:val="00866056"/>
    <w:rsid w:val="00871BF4"/>
    <w:rsid w:val="00873083"/>
    <w:rsid w:val="008737AA"/>
    <w:rsid w:val="00874CEE"/>
    <w:rsid w:val="00874ECD"/>
    <w:rsid w:val="008807C8"/>
    <w:rsid w:val="00884F7F"/>
    <w:rsid w:val="00893904"/>
    <w:rsid w:val="008B67FE"/>
    <w:rsid w:val="008C2F58"/>
    <w:rsid w:val="008C5722"/>
    <w:rsid w:val="008C705C"/>
    <w:rsid w:val="008D03E9"/>
    <w:rsid w:val="008D1606"/>
    <w:rsid w:val="008E1CFC"/>
    <w:rsid w:val="008F1640"/>
    <w:rsid w:val="008F1F44"/>
    <w:rsid w:val="008F1F65"/>
    <w:rsid w:val="008F3B0B"/>
    <w:rsid w:val="009138B0"/>
    <w:rsid w:val="00914470"/>
    <w:rsid w:val="009151EE"/>
    <w:rsid w:val="009253BE"/>
    <w:rsid w:val="009258E3"/>
    <w:rsid w:val="00926994"/>
    <w:rsid w:val="00932E15"/>
    <w:rsid w:val="009546B0"/>
    <w:rsid w:val="0096191E"/>
    <w:rsid w:val="00962320"/>
    <w:rsid w:val="00962DBC"/>
    <w:rsid w:val="009661DC"/>
    <w:rsid w:val="00971DD3"/>
    <w:rsid w:val="00972BE6"/>
    <w:rsid w:val="00972F68"/>
    <w:rsid w:val="00975BFF"/>
    <w:rsid w:val="009768CB"/>
    <w:rsid w:val="00981102"/>
    <w:rsid w:val="00983914"/>
    <w:rsid w:val="009960AD"/>
    <w:rsid w:val="009A67B9"/>
    <w:rsid w:val="009C035F"/>
    <w:rsid w:val="009D325D"/>
    <w:rsid w:val="009D5919"/>
    <w:rsid w:val="009D6B01"/>
    <w:rsid w:val="009E0917"/>
    <w:rsid w:val="009E148A"/>
    <w:rsid w:val="00A04835"/>
    <w:rsid w:val="00A11A19"/>
    <w:rsid w:val="00A1330C"/>
    <w:rsid w:val="00A22140"/>
    <w:rsid w:val="00A22918"/>
    <w:rsid w:val="00A24898"/>
    <w:rsid w:val="00A26D91"/>
    <w:rsid w:val="00A2783C"/>
    <w:rsid w:val="00A323DD"/>
    <w:rsid w:val="00A35CFA"/>
    <w:rsid w:val="00A378D3"/>
    <w:rsid w:val="00A42FD5"/>
    <w:rsid w:val="00A522CD"/>
    <w:rsid w:val="00A54F06"/>
    <w:rsid w:val="00A575AA"/>
    <w:rsid w:val="00A604C9"/>
    <w:rsid w:val="00A60703"/>
    <w:rsid w:val="00A73A9C"/>
    <w:rsid w:val="00A744C4"/>
    <w:rsid w:val="00A76583"/>
    <w:rsid w:val="00A77A92"/>
    <w:rsid w:val="00A77DAE"/>
    <w:rsid w:val="00A8087F"/>
    <w:rsid w:val="00A86402"/>
    <w:rsid w:val="00A97DD3"/>
    <w:rsid w:val="00AA04B5"/>
    <w:rsid w:val="00AA1D3E"/>
    <w:rsid w:val="00AA51E6"/>
    <w:rsid w:val="00AA7A8D"/>
    <w:rsid w:val="00AC0B8B"/>
    <w:rsid w:val="00AC2DB5"/>
    <w:rsid w:val="00AC7AF2"/>
    <w:rsid w:val="00AC7CAA"/>
    <w:rsid w:val="00AD2363"/>
    <w:rsid w:val="00AD71CF"/>
    <w:rsid w:val="00AE546A"/>
    <w:rsid w:val="00AF47A3"/>
    <w:rsid w:val="00AF611B"/>
    <w:rsid w:val="00B06A61"/>
    <w:rsid w:val="00B07A16"/>
    <w:rsid w:val="00B129A7"/>
    <w:rsid w:val="00B203F0"/>
    <w:rsid w:val="00B2151F"/>
    <w:rsid w:val="00B23CC7"/>
    <w:rsid w:val="00B25F55"/>
    <w:rsid w:val="00B324C0"/>
    <w:rsid w:val="00B34C59"/>
    <w:rsid w:val="00B51930"/>
    <w:rsid w:val="00B5259B"/>
    <w:rsid w:val="00B55991"/>
    <w:rsid w:val="00B73798"/>
    <w:rsid w:val="00B9094E"/>
    <w:rsid w:val="00B927DE"/>
    <w:rsid w:val="00BA0961"/>
    <w:rsid w:val="00BA1814"/>
    <w:rsid w:val="00BB286A"/>
    <w:rsid w:val="00BB2F9A"/>
    <w:rsid w:val="00BB3038"/>
    <w:rsid w:val="00BB6321"/>
    <w:rsid w:val="00BB719A"/>
    <w:rsid w:val="00BC1EC0"/>
    <w:rsid w:val="00BC5771"/>
    <w:rsid w:val="00BD03B6"/>
    <w:rsid w:val="00BE088B"/>
    <w:rsid w:val="00BE0A41"/>
    <w:rsid w:val="00BF4B13"/>
    <w:rsid w:val="00C0010A"/>
    <w:rsid w:val="00C07FF1"/>
    <w:rsid w:val="00C24C2A"/>
    <w:rsid w:val="00C34EF3"/>
    <w:rsid w:val="00C40783"/>
    <w:rsid w:val="00C4130C"/>
    <w:rsid w:val="00C47880"/>
    <w:rsid w:val="00C52DF4"/>
    <w:rsid w:val="00C55B5B"/>
    <w:rsid w:val="00C5723C"/>
    <w:rsid w:val="00C65BF5"/>
    <w:rsid w:val="00C65C57"/>
    <w:rsid w:val="00C737FC"/>
    <w:rsid w:val="00C80679"/>
    <w:rsid w:val="00C80F7E"/>
    <w:rsid w:val="00C819E3"/>
    <w:rsid w:val="00C83361"/>
    <w:rsid w:val="00C848AE"/>
    <w:rsid w:val="00C87A66"/>
    <w:rsid w:val="00C911DC"/>
    <w:rsid w:val="00C92E4D"/>
    <w:rsid w:val="00C94898"/>
    <w:rsid w:val="00CB044E"/>
    <w:rsid w:val="00CB16C9"/>
    <w:rsid w:val="00CC35C0"/>
    <w:rsid w:val="00CC384E"/>
    <w:rsid w:val="00CC5578"/>
    <w:rsid w:val="00CC7A7B"/>
    <w:rsid w:val="00CE750C"/>
    <w:rsid w:val="00CF0E99"/>
    <w:rsid w:val="00D0155B"/>
    <w:rsid w:val="00D07C2D"/>
    <w:rsid w:val="00D209E8"/>
    <w:rsid w:val="00D21328"/>
    <w:rsid w:val="00D22EF7"/>
    <w:rsid w:val="00D26C1C"/>
    <w:rsid w:val="00D34610"/>
    <w:rsid w:val="00D3554F"/>
    <w:rsid w:val="00D45F72"/>
    <w:rsid w:val="00D53452"/>
    <w:rsid w:val="00D607F6"/>
    <w:rsid w:val="00D66F74"/>
    <w:rsid w:val="00D77E4A"/>
    <w:rsid w:val="00D81FDA"/>
    <w:rsid w:val="00D86591"/>
    <w:rsid w:val="00D8693C"/>
    <w:rsid w:val="00D974E5"/>
    <w:rsid w:val="00DC6E64"/>
    <w:rsid w:val="00DD148F"/>
    <w:rsid w:val="00DD1BCE"/>
    <w:rsid w:val="00DD7162"/>
    <w:rsid w:val="00E02F11"/>
    <w:rsid w:val="00E064FF"/>
    <w:rsid w:val="00E0714F"/>
    <w:rsid w:val="00E12C7D"/>
    <w:rsid w:val="00E133EE"/>
    <w:rsid w:val="00E37790"/>
    <w:rsid w:val="00E40999"/>
    <w:rsid w:val="00E4274B"/>
    <w:rsid w:val="00E43500"/>
    <w:rsid w:val="00E44014"/>
    <w:rsid w:val="00E459AC"/>
    <w:rsid w:val="00E53531"/>
    <w:rsid w:val="00E53B90"/>
    <w:rsid w:val="00E56E77"/>
    <w:rsid w:val="00E664DB"/>
    <w:rsid w:val="00E7069A"/>
    <w:rsid w:val="00E72A9C"/>
    <w:rsid w:val="00E83406"/>
    <w:rsid w:val="00E8786C"/>
    <w:rsid w:val="00E92D86"/>
    <w:rsid w:val="00E93252"/>
    <w:rsid w:val="00E95672"/>
    <w:rsid w:val="00EA1C08"/>
    <w:rsid w:val="00EB38B7"/>
    <w:rsid w:val="00EB5EAD"/>
    <w:rsid w:val="00EC283F"/>
    <w:rsid w:val="00EF24F4"/>
    <w:rsid w:val="00EF465A"/>
    <w:rsid w:val="00EF560C"/>
    <w:rsid w:val="00F066C8"/>
    <w:rsid w:val="00F07840"/>
    <w:rsid w:val="00F373D9"/>
    <w:rsid w:val="00F47401"/>
    <w:rsid w:val="00F50254"/>
    <w:rsid w:val="00F51F60"/>
    <w:rsid w:val="00F55406"/>
    <w:rsid w:val="00F57DE1"/>
    <w:rsid w:val="00F64193"/>
    <w:rsid w:val="00F720EE"/>
    <w:rsid w:val="00F73489"/>
    <w:rsid w:val="00F91F43"/>
    <w:rsid w:val="00FB7764"/>
    <w:rsid w:val="00FC414B"/>
    <w:rsid w:val="00FC5F1B"/>
    <w:rsid w:val="00FE1E85"/>
    <w:rsid w:val="00FE33ED"/>
    <w:rsid w:val="00FE51C3"/>
    <w:rsid w:val="00FE6159"/>
    <w:rsid w:val="00FE70EC"/>
    <w:rsid w:val="00FF0A22"/>
    <w:rsid w:val="00FF1795"/>
    <w:rsid w:val="00FF26B5"/>
    <w:rsid w:val="00FF4B11"/>
    <w:rsid w:val="00FF66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2EB9B"/>
  <w15:chartTrackingRefBased/>
  <w15:docId w15:val="{066B0F07-991A-4A79-987B-E1FAE646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6C9"/>
    <w:pPr>
      <w:jc w:val="both"/>
    </w:pPr>
  </w:style>
  <w:style w:type="paragraph" w:styleId="Heading1">
    <w:name w:val="heading 1"/>
    <w:basedOn w:val="Normal"/>
    <w:next w:val="Normal"/>
    <w:link w:val="Heading1Char"/>
    <w:uiPriority w:val="9"/>
    <w:qFormat/>
    <w:rsid w:val="00626AB7"/>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paragraph" w:styleId="Heading2">
    <w:name w:val="heading 2"/>
    <w:basedOn w:val="Normal"/>
    <w:next w:val="Normal"/>
    <w:link w:val="Heading2Char"/>
    <w:uiPriority w:val="9"/>
    <w:unhideWhenUsed/>
    <w:qFormat/>
    <w:rsid w:val="001C421D"/>
    <w:pPr>
      <w:keepNext/>
      <w:keepLines/>
      <w:spacing w:before="40" w:after="0"/>
      <w:outlineLvl w:val="1"/>
    </w:pPr>
    <w:rPr>
      <w:rFonts w:asciiTheme="majorHAnsi" w:eastAsiaTheme="majorEastAsia" w:hAnsiTheme="majorHAnsi" w:cstheme="majorBidi"/>
      <w:color w:val="B43412" w:themeColor="accent1" w:themeShade="BF"/>
      <w:sz w:val="26"/>
      <w:szCs w:val="26"/>
    </w:rPr>
  </w:style>
  <w:style w:type="paragraph" w:styleId="Heading3">
    <w:name w:val="heading 3"/>
    <w:basedOn w:val="Normal"/>
    <w:next w:val="Normal"/>
    <w:link w:val="Heading3Char"/>
    <w:uiPriority w:val="9"/>
    <w:unhideWhenUsed/>
    <w:qFormat/>
    <w:rsid w:val="00FF1795"/>
    <w:pPr>
      <w:keepNext/>
      <w:keepLines/>
      <w:spacing w:before="40" w:after="0"/>
      <w:outlineLvl w:val="2"/>
    </w:pPr>
    <w:rPr>
      <w:rFonts w:asciiTheme="majorHAnsi" w:eastAsiaTheme="majorEastAsia" w:hAnsiTheme="majorHAnsi" w:cstheme="majorBidi"/>
      <w:color w:val="77230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AB7"/>
    <w:rPr>
      <w:rFonts w:asciiTheme="majorHAnsi" w:eastAsiaTheme="majorEastAsia" w:hAnsiTheme="majorHAnsi" w:cstheme="majorBidi"/>
      <w:color w:val="B43412" w:themeColor="accent1" w:themeShade="BF"/>
      <w:sz w:val="32"/>
      <w:szCs w:val="32"/>
    </w:rPr>
  </w:style>
  <w:style w:type="paragraph" w:styleId="ListParagraph">
    <w:name w:val="List Paragraph"/>
    <w:basedOn w:val="Normal"/>
    <w:uiPriority w:val="34"/>
    <w:qFormat/>
    <w:rsid w:val="00626AB7"/>
    <w:pPr>
      <w:ind w:left="720"/>
      <w:contextualSpacing/>
    </w:pPr>
  </w:style>
  <w:style w:type="character" w:styleId="Hyperlink">
    <w:name w:val="Hyperlink"/>
    <w:basedOn w:val="DefaultParagraphFont"/>
    <w:uiPriority w:val="99"/>
    <w:unhideWhenUsed/>
    <w:rsid w:val="00626AB7"/>
    <w:rPr>
      <w:color w:val="CC9900" w:themeColor="hyperlink"/>
      <w:u w:val="single"/>
    </w:rPr>
  </w:style>
  <w:style w:type="character" w:styleId="FollowedHyperlink">
    <w:name w:val="FollowedHyperlink"/>
    <w:basedOn w:val="DefaultParagraphFont"/>
    <w:uiPriority w:val="99"/>
    <w:semiHidden/>
    <w:unhideWhenUsed/>
    <w:rsid w:val="00EF560C"/>
    <w:rPr>
      <w:color w:val="666699" w:themeColor="followedHyperlink"/>
      <w:u w:val="single"/>
    </w:rPr>
  </w:style>
  <w:style w:type="character" w:styleId="Emphasis">
    <w:name w:val="Emphasis"/>
    <w:basedOn w:val="DefaultParagraphFont"/>
    <w:uiPriority w:val="20"/>
    <w:qFormat/>
    <w:rsid w:val="00545594"/>
    <w:rPr>
      <w:i/>
      <w:iCs/>
    </w:rPr>
  </w:style>
  <w:style w:type="character" w:styleId="CommentReference">
    <w:name w:val="annotation reference"/>
    <w:basedOn w:val="DefaultParagraphFont"/>
    <w:uiPriority w:val="99"/>
    <w:semiHidden/>
    <w:unhideWhenUsed/>
    <w:rsid w:val="008C5722"/>
    <w:rPr>
      <w:sz w:val="16"/>
      <w:szCs w:val="16"/>
    </w:rPr>
  </w:style>
  <w:style w:type="paragraph" w:styleId="CommentText">
    <w:name w:val="annotation text"/>
    <w:basedOn w:val="Normal"/>
    <w:link w:val="CommentTextChar"/>
    <w:uiPriority w:val="99"/>
    <w:unhideWhenUsed/>
    <w:rsid w:val="008C5722"/>
    <w:pPr>
      <w:spacing w:line="240" w:lineRule="auto"/>
    </w:pPr>
    <w:rPr>
      <w:sz w:val="20"/>
      <w:szCs w:val="20"/>
    </w:rPr>
  </w:style>
  <w:style w:type="character" w:customStyle="1" w:styleId="CommentTextChar">
    <w:name w:val="Comment Text Char"/>
    <w:basedOn w:val="DefaultParagraphFont"/>
    <w:link w:val="CommentText"/>
    <w:uiPriority w:val="99"/>
    <w:rsid w:val="008C5722"/>
    <w:rPr>
      <w:sz w:val="20"/>
      <w:szCs w:val="20"/>
    </w:rPr>
  </w:style>
  <w:style w:type="paragraph" w:styleId="CommentSubject">
    <w:name w:val="annotation subject"/>
    <w:basedOn w:val="CommentText"/>
    <w:next w:val="CommentText"/>
    <w:link w:val="CommentSubjectChar"/>
    <w:uiPriority w:val="99"/>
    <w:semiHidden/>
    <w:unhideWhenUsed/>
    <w:rsid w:val="008C5722"/>
    <w:rPr>
      <w:b/>
      <w:bCs/>
    </w:rPr>
  </w:style>
  <w:style w:type="character" w:customStyle="1" w:styleId="CommentSubjectChar">
    <w:name w:val="Comment Subject Char"/>
    <w:basedOn w:val="CommentTextChar"/>
    <w:link w:val="CommentSubject"/>
    <w:uiPriority w:val="99"/>
    <w:semiHidden/>
    <w:rsid w:val="008C5722"/>
    <w:rPr>
      <w:b/>
      <w:bCs/>
      <w:sz w:val="20"/>
      <w:szCs w:val="20"/>
    </w:rPr>
  </w:style>
  <w:style w:type="paragraph" w:styleId="BalloonText">
    <w:name w:val="Balloon Text"/>
    <w:basedOn w:val="Normal"/>
    <w:link w:val="BalloonTextChar"/>
    <w:uiPriority w:val="99"/>
    <w:semiHidden/>
    <w:unhideWhenUsed/>
    <w:rsid w:val="008C57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722"/>
    <w:rPr>
      <w:rFonts w:ascii="Segoe UI" w:hAnsi="Segoe UI" w:cs="Segoe UI"/>
      <w:sz w:val="18"/>
      <w:szCs w:val="18"/>
    </w:rPr>
  </w:style>
  <w:style w:type="character" w:customStyle="1" w:styleId="Heading2Char">
    <w:name w:val="Heading 2 Char"/>
    <w:basedOn w:val="DefaultParagraphFont"/>
    <w:link w:val="Heading2"/>
    <w:uiPriority w:val="9"/>
    <w:rsid w:val="001C421D"/>
    <w:rPr>
      <w:rFonts w:asciiTheme="majorHAnsi" w:eastAsiaTheme="majorEastAsia" w:hAnsiTheme="majorHAnsi" w:cstheme="majorBidi"/>
      <w:color w:val="B43412" w:themeColor="accent1" w:themeShade="BF"/>
      <w:sz w:val="26"/>
      <w:szCs w:val="26"/>
    </w:rPr>
  </w:style>
  <w:style w:type="character" w:customStyle="1" w:styleId="Heading3Char">
    <w:name w:val="Heading 3 Char"/>
    <w:basedOn w:val="DefaultParagraphFont"/>
    <w:link w:val="Heading3"/>
    <w:uiPriority w:val="9"/>
    <w:rsid w:val="00FF1795"/>
    <w:rPr>
      <w:rFonts w:asciiTheme="majorHAnsi" w:eastAsiaTheme="majorEastAsia" w:hAnsiTheme="majorHAnsi" w:cstheme="majorBidi"/>
      <w:color w:val="77230C" w:themeColor="accent1" w:themeShade="7F"/>
      <w:sz w:val="24"/>
      <w:szCs w:val="24"/>
    </w:rPr>
  </w:style>
  <w:style w:type="paragraph" w:styleId="Header">
    <w:name w:val="header"/>
    <w:basedOn w:val="Normal"/>
    <w:link w:val="HeaderChar"/>
    <w:uiPriority w:val="99"/>
    <w:unhideWhenUsed/>
    <w:rsid w:val="002A74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4A3"/>
  </w:style>
  <w:style w:type="paragraph" w:styleId="Footer">
    <w:name w:val="footer"/>
    <w:basedOn w:val="Normal"/>
    <w:link w:val="FooterChar"/>
    <w:uiPriority w:val="99"/>
    <w:unhideWhenUsed/>
    <w:rsid w:val="002A74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4A3"/>
  </w:style>
  <w:style w:type="character" w:styleId="UnresolvedMention">
    <w:name w:val="Unresolved Mention"/>
    <w:basedOn w:val="DefaultParagraphFont"/>
    <w:uiPriority w:val="99"/>
    <w:semiHidden/>
    <w:unhideWhenUsed/>
    <w:rsid w:val="00A575AA"/>
    <w:rPr>
      <w:color w:val="605E5C"/>
      <w:shd w:val="clear" w:color="auto" w:fill="E1DFDD"/>
    </w:rPr>
  </w:style>
  <w:style w:type="paragraph" w:styleId="Revision">
    <w:name w:val="Revision"/>
    <w:hidden/>
    <w:uiPriority w:val="99"/>
    <w:semiHidden/>
    <w:rsid w:val="002427E4"/>
    <w:pPr>
      <w:spacing w:after="0" w:line="240" w:lineRule="auto"/>
    </w:pPr>
  </w:style>
  <w:style w:type="table" w:styleId="TableGrid">
    <w:name w:val="Table Grid"/>
    <w:basedOn w:val="TableNormal"/>
    <w:uiPriority w:val="39"/>
    <w:rsid w:val="00221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A5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55991"/>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rpl-text-label">
    <w:name w:val="rpl-text-label"/>
    <w:basedOn w:val="DefaultParagraphFont"/>
    <w:rsid w:val="00B55991"/>
  </w:style>
  <w:style w:type="character" w:customStyle="1" w:styleId="rpl-text-icongroup">
    <w:name w:val="rpl-text-icon__group"/>
    <w:basedOn w:val="DefaultParagraphFont"/>
    <w:rsid w:val="00B55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87823">
      <w:bodyDiv w:val="1"/>
      <w:marLeft w:val="0"/>
      <w:marRight w:val="0"/>
      <w:marTop w:val="0"/>
      <w:marBottom w:val="0"/>
      <w:divBdr>
        <w:top w:val="none" w:sz="0" w:space="0" w:color="auto"/>
        <w:left w:val="none" w:sz="0" w:space="0" w:color="auto"/>
        <w:bottom w:val="none" w:sz="0" w:space="0" w:color="auto"/>
        <w:right w:val="none" w:sz="0" w:space="0" w:color="auto"/>
      </w:divBdr>
    </w:div>
    <w:div w:id="293678010">
      <w:bodyDiv w:val="1"/>
      <w:marLeft w:val="0"/>
      <w:marRight w:val="0"/>
      <w:marTop w:val="0"/>
      <w:marBottom w:val="0"/>
      <w:divBdr>
        <w:top w:val="none" w:sz="0" w:space="0" w:color="auto"/>
        <w:left w:val="none" w:sz="0" w:space="0" w:color="auto"/>
        <w:bottom w:val="none" w:sz="0" w:space="0" w:color="auto"/>
        <w:right w:val="none" w:sz="0" w:space="0" w:color="auto"/>
      </w:divBdr>
    </w:div>
    <w:div w:id="366174624">
      <w:bodyDiv w:val="1"/>
      <w:marLeft w:val="0"/>
      <w:marRight w:val="0"/>
      <w:marTop w:val="0"/>
      <w:marBottom w:val="0"/>
      <w:divBdr>
        <w:top w:val="none" w:sz="0" w:space="0" w:color="auto"/>
        <w:left w:val="none" w:sz="0" w:space="0" w:color="auto"/>
        <w:bottom w:val="none" w:sz="0" w:space="0" w:color="auto"/>
        <w:right w:val="none" w:sz="0" w:space="0" w:color="auto"/>
      </w:divBdr>
    </w:div>
    <w:div w:id="1371347140">
      <w:bodyDiv w:val="1"/>
      <w:marLeft w:val="0"/>
      <w:marRight w:val="0"/>
      <w:marTop w:val="0"/>
      <w:marBottom w:val="0"/>
      <w:divBdr>
        <w:top w:val="none" w:sz="0" w:space="0" w:color="auto"/>
        <w:left w:val="none" w:sz="0" w:space="0" w:color="auto"/>
        <w:bottom w:val="none" w:sz="0" w:space="0" w:color="auto"/>
        <w:right w:val="none" w:sz="0" w:space="0" w:color="auto"/>
      </w:divBdr>
    </w:div>
    <w:div w:id="1756779877">
      <w:bodyDiv w:val="1"/>
      <w:marLeft w:val="0"/>
      <w:marRight w:val="0"/>
      <w:marTop w:val="0"/>
      <w:marBottom w:val="0"/>
      <w:divBdr>
        <w:top w:val="none" w:sz="0" w:space="0" w:color="auto"/>
        <w:left w:val="none" w:sz="0" w:space="0" w:color="auto"/>
        <w:bottom w:val="none" w:sz="0" w:space="0" w:color="auto"/>
        <w:right w:val="none" w:sz="0" w:space="0" w:color="auto"/>
      </w:divBdr>
    </w:div>
    <w:div w:id="1866744573">
      <w:bodyDiv w:val="1"/>
      <w:marLeft w:val="0"/>
      <w:marRight w:val="0"/>
      <w:marTop w:val="0"/>
      <w:marBottom w:val="0"/>
      <w:divBdr>
        <w:top w:val="none" w:sz="0" w:space="0" w:color="auto"/>
        <w:left w:val="none" w:sz="0" w:space="0" w:color="auto"/>
        <w:bottom w:val="none" w:sz="0" w:space="0" w:color="auto"/>
        <w:right w:val="none" w:sz="0" w:space="0" w:color="auto"/>
      </w:divBdr>
    </w:div>
    <w:div w:id="1980721741">
      <w:bodyDiv w:val="1"/>
      <w:marLeft w:val="0"/>
      <w:marRight w:val="0"/>
      <w:marTop w:val="0"/>
      <w:marBottom w:val="0"/>
      <w:divBdr>
        <w:top w:val="none" w:sz="0" w:space="0" w:color="auto"/>
        <w:left w:val="none" w:sz="0" w:space="0" w:color="auto"/>
        <w:bottom w:val="none" w:sz="0" w:space="0" w:color="auto"/>
        <w:right w:val="none" w:sz="0" w:space="0" w:color="auto"/>
      </w:divBdr>
    </w:div>
    <w:div w:id="2030257362">
      <w:bodyDiv w:val="1"/>
      <w:marLeft w:val="0"/>
      <w:marRight w:val="0"/>
      <w:marTop w:val="0"/>
      <w:marBottom w:val="0"/>
      <w:divBdr>
        <w:top w:val="none" w:sz="0" w:space="0" w:color="auto"/>
        <w:left w:val="none" w:sz="0" w:space="0" w:color="auto"/>
        <w:bottom w:val="none" w:sz="0" w:space="0" w:color="auto"/>
        <w:right w:val="none" w:sz="0" w:space="0" w:color="auto"/>
      </w:divBdr>
    </w:div>
    <w:div w:id="204695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microsoft.com/office/2018/08/relationships/commentsExtensible" Target="commentsExtensible.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2.education.vic.gov.au/pal/flexible-learning-options/guidance/introduction" TargetMode="External"/><Relationship Id="rId7" Type="http://schemas.openxmlformats.org/officeDocument/2006/relationships/styles" Target="styles.xml"/><Relationship Id="rId12" Type="http://schemas.openxmlformats.org/officeDocument/2006/relationships/image" Target="media/image1.png"/><Relationship Id="rId17" Type="http://schemas.microsoft.com/office/2016/09/relationships/commentsIds" Target="commentsIds.xml"/><Relationship Id="rId25"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education.vic.gov.au/school/teachers/learningneeds/Pages/psd.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student-support-groups/policy" TargetMode="Externa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https://www2.education.vic.gov.au/pal/flexible-learning-options/guidance/student-referrals-flexible-learning-options"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edugate.eduweb.vic.gov.au/edrms/keyprocess/flo/Pages/Home.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re-engagement-programs/policy" TargetMode="External"/><Relationship Id="rId22" Type="http://schemas.openxmlformats.org/officeDocument/2006/relationships/hyperlink" Target="https://www2.education.vic.gov.au/pal/flexible-learning-options/guidance" TargetMode="External"/><Relationship Id="rId27" Type="http://schemas.openxmlformats.org/officeDocument/2006/relationships/fontTable" Target="fontTable.xml"/></Relationships>
</file>

<file path=word/theme/theme1.xml><?xml version="1.0" encoding="utf-8"?>
<a:theme xmlns:a="http://schemas.openxmlformats.org/drawingml/2006/main" name="CLTC">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T_EDRMS_Description xmlns="http://schemas.microsoft.com/Sharepoint/v3" xsi:nil="true"/>
    <DET_EDRMS_Date xmlns="http://schemas.microsoft.com/Sharepoint/v3" xsi:nil="true"/>
    <DET_EDRMS_Author xmlns="http://schemas.microsoft.com/Sharepoint/v3" xsi:nil="true"/>
    <DET_EDRMS_Category xmlns="http://schemas.microsoft.com/Sharepoint/v3" xsi:nil="true"/>
    <TaxCatchAll xmlns="61e538cb-f8c2-4c9c-ac78-9205d03c8849">
      <Value>10</Value>
    </TaxCatchAll>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926BC-29F2-4C3A-80E6-ABAC92E7F086}">
  <ds:schemaRefs>
    <ds:schemaRef ds:uri="http://schemas.microsoft.com/sharepoint/v3/contenttype/forms"/>
  </ds:schemaRefs>
</ds:datastoreItem>
</file>

<file path=customXml/itemProps2.xml><?xml version="1.0" encoding="utf-8"?>
<ds:datastoreItem xmlns:ds="http://schemas.openxmlformats.org/officeDocument/2006/customXml" ds:itemID="{4A0EE472-FEFA-4000-B4BF-1C6401537024}">
  <ds:schemaRefs>
    <ds:schemaRef ds:uri="http://schemas.microsoft.com/sharepoint/events"/>
  </ds:schemaRefs>
</ds:datastoreItem>
</file>

<file path=customXml/itemProps3.xml><?xml version="1.0" encoding="utf-8"?>
<ds:datastoreItem xmlns:ds="http://schemas.openxmlformats.org/officeDocument/2006/customXml" ds:itemID="{7169C507-A79E-43BF-A7F9-EE8696DFE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7AD286-62A2-4795-89BF-27FE09378344}">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customXml/itemProps5.xml><?xml version="1.0" encoding="utf-8"?>
<ds:datastoreItem xmlns:ds="http://schemas.openxmlformats.org/officeDocument/2006/customXml" ds:itemID="{B5FB14B5-A563-4A96-8BA3-3A5F9608E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Suddenly, Julia L</dc:creator>
  <cp:keywords/>
  <dc:description/>
  <cp:lastModifiedBy> </cp:lastModifiedBy>
  <cp:revision>8</cp:revision>
  <dcterms:created xsi:type="dcterms:W3CDTF">2023-07-20T22:55:00Z</dcterms:created>
  <dcterms:modified xsi:type="dcterms:W3CDTF">2023-07-20T23:25:00Z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{a3cad19c-ba88-4c91-95a6-19bb98fc52b3}</vt:lpwstr>
  </property>
  <property fmtid="{D5CDD505-2E9C-101B-9397-08002B2CF9AE}" pid="10" name="RecordPoint_ActiveItemWebId">
    <vt:lpwstr>{603f2397-5de8-47f6-bd19-8ee820c94c7c}</vt:lpwstr>
  </property>
  <property fmtid="{D5CDD505-2E9C-101B-9397-08002B2CF9AE}" pid="11" name="RecordPoint_RecordNumberSubmitted">
    <vt:lpwstr>R20220263504</vt:lpwstr>
  </property>
  <property fmtid="{D5CDD505-2E9C-101B-9397-08002B2CF9AE}" pid="12" name="RecordPoint_SubmissionCompleted">
    <vt:lpwstr>2022-05-02T21:47:33.2753690+10:00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T_EDRMS_RCSTaxHTField0">
    <vt:lpwstr>13.1.2 Internal Policy|ad985a07-89db-41e4-84da-e1a6cef79014</vt:lpwstr>
  </property>
  <property fmtid="{D5CDD505-2E9C-101B-9397-08002B2CF9AE}" pid="17" name="TaxCatchAll">
    <vt:lpwstr>28;#13.1.2 Internal Policy|ad985a07-89db-41e4-84da-e1a6cef79014</vt:lpwstr>
  </property>
</Properties>
</file>