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1E3" w:rsidRPr="00246A8E" w:rsidRDefault="00B871E3" w:rsidP="00246A8E">
      <w:pPr>
        <w:pStyle w:val="NoSpacing"/>
        <w:ind w:left="709" w:right="95" w:hanging="567"/>
        <w:jc w:val="both"/>
        <w:rPr>
          <w:rStyle w:val="SubtleReference"/>
        </w:rPr>
      </w:pPr>
      <w:r w:rsidRPr="00246A8E">
        <w:rPr>
          <w:rStyle w:val="SubtleReference"/>
        </w:rPr>
        <w:t>Rationale</w:t>
      </w:r>
    </w:p>
    <w:p w:rsidR="00B871E3" w:rsidRPr="00246A8E" w:rsidRDefault="00B871E3" w:rsidP="00246A8E">
      <w:pPr>
        <w:pStyle w:val="NoSpacing"/>
        <w:numPr>
          <w:ilvl w:val="0"/>
          <w:numId w:val="1"/>
        </w:numPr>
        <w:ind w:left="709" w:right="95" w:hanging="567"/>
        <w:jc w:val="both"/>
        <w:rPr>
          <w:rFonts w:asciiTheme="majorHAnsi" w:hAnsiTheme="majorHAnsi"/>
          <w:sz w:val="24"/>
          <w:szCs w:val="24"/>
        </w:rPr>
      </w:pPr>
      <w:r w:rsidRPr="00246A8E">
        <w:rPr>
          <w:rFonts w:asciiTheme="majorHAnsi" w:hAnsiTheme="majorHAnsi"/>
          <w:sz w:val="24"/>
          <w:szCs w:val="24"/>
        </w:rPr>
        <w:t>Schools may reduce criminal acts by making potential targets/assets inaccessible or unattractive and by making the activity too dangerous or unprofitable for the offender by:</w:t>
      </w:r>
    </w:p>
    <w:p w:rsidR="00B871E3" w:rsidRPr="00246A8E" w:rsidRDefault="00B871E3" w:rsidP="00246A8E">
      <w:pPr>
        <w:pStyle w:val="NoSpacing"/>
        <w:numPr>
          <w:ilvl w:val="0"/>
          <w:numId w:val="2"/>
        </w:numPr>
        <w:ind w:left="1276" w:right="95" w:hanging="567"/>
        <w:jc w:val="both"/>
        <w:rPr>
          <w:rFonts w:asciiTheme="majorHAnsi" w:hAnsiTheme="majorHAnsi"/>
          <w:sz w:val="24"/>
          <w:szCs w:val="24"/>
        </w:rPr>
      </w:pPr>
      <w:r w:rsidRPr="00246A8E">
        <w:rPr>
          <w:rFonts w:asciiTheme="majorHAnsi" w:hAnsiTheme="majorHAnsi"/>
          <w:sz w:val="24"/>
          <w:szCs w:val="24"/>
        </w:rPr>
        <w:t>spreading the risks through physical, electronic and procedural security measures that deny, defer, delay or detect criminal activity</w:t>
      </w:r>
    </w:p>
    <w:p w:rsidR="00B871E3" w:rsidRPr="00246A8E" w:rsidRDefault="00B871E3" w:rsidP="00246A8E">
      <w:pPr>
        <w:pStyle w:val="NoSpacing"/>
        <w:numPr>
          <w:ilvl w:val="0"/>
          <w:numId w:val="2"/>
        </w:numPr>
        <w:ind w:left="1276" w:right="95" w:hanging="567"/>
        <w:jc w:val="both"/>
        <w:rPr>
          <w:rFonts w:asciiTheme="majorHAnsi" w:hAnsiTheme="majorHAnsi"/>
          <w:sz w:val="24"/>
          <w:szCs w:val="24"/>
        </w:rPr>
      </w:pPr>
      <w:r w:rsidRPr="00246A8E">
        <w:rPr>
          <w:rFonts w:asciiTheme="majorHAnsi" w:hAnsiTheme="majorHAnsi"/>
          <w:sz w:val="24"/>
          <w:szCs w:val="24"/>
        </w:rPr>
        <w:t>reducing, removing, transferring or accepting some risks</w:t>
      </w:r>
    </w:p>
    <w:p w:rsidR="00B871E3" w:rsidRPr="00246A8E" w:rsidRDefault="00B871E3" w:rsidP="00246A8E">
      <w:pPr>
        <w:pStyle w:val="NoSpacing"/>
        <w:numPr>
          <w:ilvl w:val="0"/>
          <w:numId w:val="2"/>
        </w:numPr>
        <w:ind w:left="1276" w:right="95" w:hanging="567"/>
        <w:jc w:val="both"/>
        <w:rPr>
          <w:rFonts w:asciiTheme="majorHAnsi" w:hAnsiTheme="majorHAnsi"/>
          <w:sz w:val="24"/>
          <w:szCs w:val="24"/>
        </w:rPr>
      </w:pPr>
      <w:r w:rsidRPr="00246A8E">
        <w:rPr>
          <w:rFonts w:asciiTheme="majorHAnsi" w:hAnsiTheme="majorHAnsi"/>
          <w:sz w:val="24"/>
          <w:szCs w:val="24"/>
        </w:rPr>
        <w:t>installing a Department funded and monitored intruder detection system (where the school meets appropriate risk criteria)</w:t>
      </w:r>
    </w:p>
    <w:p w:rsidR="00B871E3" w:rsidRPr="00246A8E" w:rsidRDefault="00B871E3" w:rsidP="00246A8E">
      <w:pPr>
        <w:pStyle w:val="NoSpacing"/>
        <w:numPr>
          <w:ilvl w:val="0"/>
          <w:numId w:val="2"/>
        </w:numPr>
        <w:ind w:left="1276" w:right="95" w:hanging="567"/>
        <w:jc w:val="both"/>
        <w:rPr>
          <w:rFonts w:asciiTheme="majorHAnsi" w:hAnsiTheme="majorHAnsi"/>
          <w:sz w:val="24"/>
          <w:szCs w:val="24"/>
        </w:rPr>
      </w:pPr>
      <w:r w:rsidRPr="00246A8E">
        <w:rPr>
          <w:rFonts w:asciiTheme="majorHAnsi" w:hAnsiTheme="majorHAnsi"/>
          <w:sz w:val="24"/>
          <w:szCs w:val="24"/>
        </w:rPr>
        <w:t xml:space="preserve">using school funds to install a </w:t>
      </w:r>
      <w:proofErr w:type="gramStart"/>
      <w:r w:rsidRPr="00246A8E">
        <w:rPr>
          <w:rFonts w:asciiTheme="majorHAnsi" w:hAnsiTheme="majorHAnsi"/>
          <w:sz w:val="24"/>
          <w:szCs w:val="24"/>
        </w:rPr>
        <w:t>closed circuit</w:t>
      </w:r>
      <w:proofErr w:type="gramEnd"/>
      <w:r w:rsidRPr="00246A8E">
        <w:rPr>
          <w:rFonts w:asciiTheme="majorHAnsi" w:hAnsiTheme="majorHAnsi"/>
          <w:sz w:val="24"/>
          <w:szCs w:val="24"/>
        </w:rPr>
        <w:t xml:space="preserve"> television system (CCTV) with Departmental approval via the Manager, Security Services Unit. </w:t>
      </w:r>
    </w:p>
    <w:p w:rsidR="00B871E3" w:rsidRPr="00246A8E" w:rsidRDefault="00B871E3" w:rsidP="00246A8E">
      <w:pPr>
        <w:pStyle w:val="NoSpacing"/>
        <w:numPr>
          <w:ilvl w:val="0"/>
          <w:numId w:val="3"/>
        </w:numPr>
        <w:ind w:left="709" w:right="95" w:hanging="567"/>
        <w:jc w:val="both"/>
        <w:rPr>
          <w:rFonts w:asciiTheme="majorHAnsi" w:hAnsiTheme="majorHAnsi"/>
          <w:sz w:val="24"/>
          <w:szCs w:val="24"/>
        </w:rPr>
      </w:pPr>
      <w:r w:rsidRPr="00246A8E">
        <w:rPr>
          <w:rFonts w:asciiTheme="majorHAnsi" w:hAnsiTheme="majorHAnsi"/>
          <w:sz w:val="24"/>
          <w:szCs w:val="24"/>
        </w:rPr>
        <w:t xml:space="preserve">The installed system must comply with legislative and departmental requirements and must not be hidden or covert or used: </w:t>
      </w:r>
    </w:p>
    <w:p w:rsidR="00B871E3" w:rsidRPr="00246A8E" w:rsidRDefault="00B871E3" w:rsidP="00246A8E">
      <w:pPr>
        <w:pStyle w:val="NoSpacing"/>
        <w:numPr>
          <w:ilvl w:val="0"/>
          <w:numId w:val="4"/>
        </w:numPr>
        <w:ind w:left="1418" w:right="95" w:hanging="567"/>
        <w:jc w:val="both"/>
        <w:rPr>
          <w:rFonts w:asciiTheme="majorHAnsi" w:hAnsiTheme="majorHAnsi"/>
          <w:sz w:val="24"/>
          <w:szCs w:val="24"/>
        </w:rPr>
      </w:pPr>
      <w:r w:rsidRPr="00246A8E">
        <w:rPr>
          <w:rFonts w:asciiTheme="majorHAnsi" w:hAnsiTheme="majorHAnsi"/>
          <w:sz w:val="24"/>
          <w:szCs w:val="24"/>
        </w:rPr>
        <w:t>in private locations such as toilets</w:t>
      </w:r>
    </w:p>
    <w:p w:rsidR="00B871E3" w:rsidRPr="00246A8E" w:rsidRDefault="00B871E3" w:rsidP="00246A8E">
      <w:pPr>
        <w:pStyle w:val="NoSpacing"/>
        <w:numPr>
          <w:ilvl w:val="0"/>
          <w:numId w:val="4"/>
        </w:numPr>
        <w:ind w:left="1418" w:right="95" w:hanging="567"/>
        <w:jc w:val="both"/>
        <w:rPr>
          <w:rFonts w:asciiTheme="majorHAnsi" w:hAnsiTheme="majorHAnsi"/>
          <w:sz w:val="24"/>
          <w:szCs w:val="24"/>
        </w:rPr>
      </w:pPr>
      <w:r w:rsidRPr="00246A8E">
        <w:rPr>
          <w:rFonts w:asciiTheme="majorHAnsi" w:hAnsiTheme="majorHAnsi"/>
          <w:sz w:val="24"/>
          <w:szCs w:val="24"/>
        </w:rPr>
        <w:t>in change rooms or staff rooms.</w:t>
      </w:r>
    </w:p>
    <w:p w:rsidR="00B871E3" w:rsidRPr="00246A8E" w:rsidRDefault="00B871E3" w:rsidP="00246A8E">
      <w:pPr>
        <w:pStyle w:val="NoSpacing"/>
        <w:numPr>
          <w:ilvl w:val="0"/>
          <w:numId w:val="4"/>
        </w:numPr>
        <w:ind w:left="1418" w:right="95" w:hanging="567"/>
        <w:jc w:val="both"/>
        <w:rPr>
          <w:rFonts w:asciiTheme="majorHAnsi" w:hAnsiTheme="majorHAnsi"/>
          <w:sz w:val="24"/>
          <w:szCs w:val="24"/>
        </w:rPr>
      </w:pPr>
      <w:r w:rsidRPr="00246A8E">
        <w:rPr>
          <w:rFonts w:asciiTheme="majorHAnsi" w:hAnsiTheme="majorHAnsi"/>
          <w:sz w:val="24"/>
          <w:szCs w:val="24"/>
        </w:rPr>
        <w:t>to monitor student or staff performance</w:t>
      </w:r>
    </w:p>
    <w:p w:rsidR="00B871E3" w:rsidRPr="00246A8E" w:rsidRDefault="00B871E3" w:rsidP="00246A8E">
      <w:pPr>
        <w:pStyle w:val="NoSpacing"/>
        <w:numPr>
          <w:ilvl w:val="0"/>
          <w:numId w:val="5"/>
        </w:numPr>
        <w:ind w:left="709" w:right="95" w:hanging="567"/>
        <w:jc w:val="both"/>
        <w:rPr>
          <w:rFonts w:asciiTheme="majorHAnsi" w:hAnsiTheme="majorHAnsi"/>
          <w:sz w:val="24"/>
          <w:szCs w:val="24"/>
        </w:rPr>
      </w:pPr>
      <w:r w:rsidRPr="00246A8E">
        <w:rPr>
          <w:rFonts w:asciiTheme="majorHAnsi" w:hAnsiTheme="majorHAnsi"/>
          <w:sz w:val="24"/>
          <w:szCs w:val="24"/>
        </w:rPr>
        <w:t>The DET centrally funds the installation and maintenance of intruder detection systems at schools that meet appropriate risk criteria. It also monitors alarm systems and responds to alarm activations via its 24-hour coordination centre.</w:t>
      </w:r>
    </w:p>
    <w:p w:rsidR="00B871E3" w:rsidRPr="00246A8E" w:rsidRDefault="00B871E3" w:rsidP="00246A8E">
      <w:pPr>
        <w:pStyle w:val="NoSpacing"/>
        <w:numPr>
          <w:ilvl w:val="0"/>
          <w:numId w:val="5"/>
        </w:numPr>
        <w:ind w:left="709" w:right="95" w:hanging="567"/>
        <w:jc w:val="both"/>
        <w:rPr>
          <w:rFonts w:asciiTheme="majorHAnsi" w:hAnsiTheme="majorHAnsi"/>
          <w:sz w:val="24"/>
          <w:szCs w:val="24"/>
        </w:rPr>
      </w:pPr>
      <w:r w:rsidRPr="00246A8E">
        <w:rPr>
          <w:rFonts w:asciiTheme="majorHAnsi" w:hAnsiTheme="majorHAnsi"/>
          <w:sz w:val="24"/>
          <w:szCs w:val="24"/>
        </w:rPr>
        <w:t xml:space="preserve">Schools that have an intruder detection system installed must pay for: </w:t>
      </w:r>
    </w:p>
    <w:p w:rsidR="00B871E3" w:rsidRPr="00246A8E" w:rsidRDefault="00B871E3" w:rsidP="00246A8E">
      <w:pPr>
        <w:pStyle w:val="NoSpacing"/>
        <w:numPr>
          <w:ilvl w:val="0"/>
          <w:numId w:val="6"/>
        </w:numPr>
        <w:ind w:left="1418" w:right="95" w:hanging="567"/>
        <w:jc w:val="both"/>
        <w:rPr>
          <w:rFonts w:asciiTheme="majorHAnsi" w:hAnsiTheme="majorHAnsi"/>
          <w:sz w:val="24"/>
          <w:szCs w:val="24"/>
        </w:rPr>
      </w:pPr>
      <w:r w:rsidRPr="00246A8E">
        <w:rPr>
          <w:rFonts w:asciiTheme="majorHAnsi" w:hAnsiTheme="majorHAnsi"/>
          <w:sz w:val="24"/>
          <w:szCs w:val="24"/>
        </w:rPr>
        <w:t>the ongoing transmission of data between the school and the alarm monitoring centre</w:t>
      </w:r>
    </w:p>
    <w:p w:rsidR="00B871E3" w:rsidRPr="00246A8E" w:rsidRDefault="00B871E3" w:rsidP="00246A8E">
      <w:pPr>
        <w:pStyle w:val="NoSpacing"/>
        <w:numPr>
          <w:ilvl w:val="0"/>
          <w:numId w:val="6"/>
        </w:numPr>
        <w:ind w:left="1418" w:right="95" w:hanging="567"/>
        <w:jc w:val="both"/>
        <w:rPr>
          <w:rFonts w:asciiTheme="majorHAnsi" w:hAnsiTheme="majorHAnsi"/>
          <w:sz w:val="24"/>
          <w:szCs w:val="24"/>
        </w:rPr>
      </w:pPr>
      <w:r w:rsidRPr="00246A8E">
        <w:rPr>
          <w:rFonts w:asciiTheme="majorHAnsi" w:hAnsiTheme="majorHAnsi"/>
          <w:sz w:val="24"/>
          <w:szCs w:val="24"/>
        </w:rPr>
        <w:t xml:space="preserve">any costs associated with extensions, modifications or systems which are not part of the centrally-funded program. </w:t>
      </w:r>
    </w:p>
    <w:p w:rsidR="00B871E3" w:rsidRPr="00246A8E" w:rsidRDefault="00B871E3" w:rsidP="00246A8E">
      <w:pPr>
        <w:pStyle w:val="NoSpacing"/>
        <w:numPr>
          <w:ilvl w:val="0"/>
          <w:numId w:val="7"/>
        </w:numPr>
        <w:ind w:left="709" w:right="95" w:hanging="567"/>
        <w:jc w:val="both"/>
        <w:rPr>
          <w:rFonts w:asciiTheme="majorHAnsi" w:hAnsiTheme="majorHAnsi"/>
          <w:sz w:val="24"/>
          <w:szCs w:val="24"/>
        </w:rPr>
      </w:pPr>
      <w:r w:rsidRPr="00246A8E">
        <w:rPr>
          <w:rFonts w:asciiTheme="majorHAnsi" w:hAnsiTheme="majorHAnsi"/>
          <w:sz w:val="24"/>
          <w:szCs w:val="24"/>
        </w:rPr>
        <w:t>Schools must contact the Security Services Unit before any system changes begin.</w:t>
      </w:r>
    </w:p>
    <w:p w:rsidR="00B871E3" w:rsidRPr="00246A8E" w:rsidRDefault="00B871E3" w:rsidP="00246A8E">
      <w:pPr>
        <w:pStyle w:val="NoSpacing"/>
        <w:numPr>
          <w:ilvl w:val="0"/>
          <w:numId w:val="11"/>
        </w:numPr>
        <w:ind w:left="709" w:right="95" w:hanging="567"/>
        <w:jc w:val="both"/>
        <w:rPr>
          <w:rFonts w:asciiTheme="majorHAnsi" w:hAnsiTheme="majorHAnsi"/>
          <w:sz w:val="24"/>
          <w:szCs w:val="24"/>
        </w:rPr>
      </w:pPr>
      <w:r w:rsidRPr="00246A8E">
        <w:rPr>
          <w:rFonts w:asciiTheme="majorHAnsi" w:hAnsiTheme="majorHAnsi"/>
          <w:sz w:val="24"/>
          <w:szCs w:val="24"/>
        </w:rPr>
        <w:t>Schools are warned that failure to turn the alarm system off immediately on entering the building causes an unwanted alarm at the coordination centre resulting in police and private security contractor response.</w:t>
      </w:r>
    </w:p>
    <w:p w:rsidR="00486E4F" w:rsidRPr="00246A8E" w:rsidRDefault="00486E4F" w:rsidP="00246A8E">
      <w:pPr>
        <w:numPr>
          <w:ilvl w:val="0"/>
          <w:numId w:val="11"/>
        </w:numPr>
        <w:spacing w:after="0" w:line="240" w:lineRule="auto"/>
        <w:ind w:left="709" w:right="95" w:hanging="567"/>
        <w:jc w:val="both"/>
        <w:rPr>
          <w:rFonts w:asciiTheme="majorHAnsi" w:hAnsiTheme="majorHAnsi"/>
          <w:sz w:val="24"/>
          <w:szCs w:val="24"/>
          <w:lang w:eastAsia="en-AU"/>
        </w:rPr>
      </w:pPr>
      <w:r w:rsidRPr="00246A8E">
        <w:rPr>
          <w:rFonts w:asciiTheme="majorHAnsi" w:hAnsiTheme="majorHAnsi"/>
          <w:sz w:val="24"/>
          <w:szCs w:val="24"/>
          <w:lang w:eastAsia="en-AU"/>
        </w:rPr>
        <w:t>DET may recover costs from schools in cases where school personnel have activated the alarm and heaters and air conditions left on have triggered the alarm systems.</w:t>
      </w:r>
    </w:p>
    <w:p w:rsidR="00B871E3" w:rsidRPr="00246A8E" w:rsidRDefault="00B871E3" w:rsidP="00246A8E">
      <w:pPr>
        <w:pStyle w:val="NoSpacing"/>
        <w:numPr>
          <w:ilvl w:val="0"/>
          <w:numId w:val="8"/>
        </w:numPr>
        <w:ind w:left="709" w:right="95" w:hanging="567"/>
        <w:jc w:val="both"/>
        <w:rPr>
          <w:rFonts w:asciiTheme="majorHAnsi" w:hAnsiTheme="majorHAnsi"/>
          <w:sz w:val="24"/>
          <w:szCs w:val="24"/>
        </w:rPr>
      </w:pPr>
      <w:r w:rsidRPr="00246A8E">
        <w:rPr>
          <w:rFonts w:asciiTheme="majorHAnsi" w:hAnsiTheme="majorHAnsi"/>
          <w:sz w:val="24"/>
          <w:szCs w:val="24"/>
        </w:rPr>
        <w:t>Schools seeking to install CCTV must obtain prior approval from the Manager, Security Services Unit.</w:t>
      </w:r>
    </w:p>
    <w:p w:rsidR="00B871E3" w:rsidRPr="00246A8E" w:rsidRDefault="00B871E3" w:rsidP="00246A8E">
      <w:pPr>
        <w:pStyle w:val="NoSpacing"/>
        <w:ind w:left="709" w:right="95" w:hanging="567"/>
        <w:jc w:val="both"/>
        <w:rPr>
          <w:rFonts w:asciiTheme="majorHAnsi" w:hAnsiTheme="majorHAnsi"/>
          <w:sz w:val="24"/>
          <w:szCs w:val="24"/>
        </w:rPr>
      </w:pPr>
    </w:p>
    <w:p w:rsidR="00B871E3" w:rsidRPr="00246A8E" w:rsidRDefault="00B871E3" w:rsidP="00246A8E">
      <w:pPr>
        <w:pStyle w:val="NoSpacing"/>
        <w:ind w:left="709" w:right="95" w:hanging="567"/>
        <w:jc w:val="both"/>
        <w:rPr>
          <w:rStyle w:val="SubtleReference"/>
        </w:rPr>
      </w:pPr>
      <w:r w:rsidRPr="00246A8E">
        <w:rPr>
          <w:rStyle w:val="SubtleReference"/>
        </w:rPr>
        <w:t>Purpose</w:t>
      </w:r>
    </w:p>
    <w:p w:rsidR="00B871E3" w:rsidRPr="00246A8E" w:rsidRDefault="00B871E3" w:rsidP="00246A8E">
      <w:pPr>
        <w:pStyle w:val="NoSpacing"/>
        <w:numPr>
          <w:ilvl w:val="0"/>
          <w:numId w:val="9"/>
        </w:numPr>
        <w:ind w:left="709" w:right="95" w:hanging="567"/>
        <w:jc w:val="both"/>
        <w:rPr>
          <w:rFonts w:asciiTheme="majorHAnsi" w:hAnsiTheme="majorHAnsi"/>
          <w:sz w:val="24"/>
          <w:szCs w:val="24"/>
        </w:rPr>
      </w:pPr>
      <w:r w:rsidRPr="00246A8E">
        <w:rPr>
          <w:rFonts w:asciiTheme="majorHAnsi" w:hAnsiTheme="majorHAnsi"/>
          <w:sz w:val="24"/>
          <w:szCs w:val="24"/>
        </w:rPr>
        <w:t xml:space="preserve">To reduce situational crime at </w:t>
      </w:r>
      <w:r w:rsidR="00CC0ED6" w:rsidRPr="00246A8E">
        <w:rPr>
          <w:rFonts w:asciiTheme="majorHAnsi" w:hAnsiTheme="majorHAnsi"/>
          <w:sz w:val="24"/>
          <w:szCs w:val="24"/>
        </w:rPr>
        <w:t>Charles La Trobe College</w:t>
      </w:r>
      <w:r w:rsidRPr="00246A8E">
        <w:rPr>
          <w:rFonts w:asciiTheme="majorHAnsi" w:hAnsiTheme="majorHAnsi"/>
          <w:sz w:val="24"/>
          <w:szCs w:val="24"/>
        </w:rPr>
        <w:t>.</w:t>
      </w:r>
    </w:p>
    <w:p w:rsidR="00B871E3" w:rsidRPr="00246A8E" w:rsidRDefault="00B871E3" w:rsidP="00246A8E">
      <w:pPr>
        <w:pStyle w:val="NoSpacing"/>
        <w:numPr>
          <w:ilvl w:val="0"/>
          <w:numId w:val="9"/>
        </w:numPr>
        <w:ind w:left="709" w:right="95" w:hanging="567"/>
        <w:jc w:val="both"/>
        <w:rPr>
          <w:rFonts w:asciiTheme="majorHAnsi" w:hAnsiTheme="majorHAnsi"/>
          <w:sz w:val="24"/>
          <w:szCs w:val="24"/>
        </w:rPr>
      </w:pPr>
      <w:r w:rsidRPr="00246A8E">
        <w:rPr>
          <w:rFonts w:asciiTheme="majorHAnsi" w:hAnsiTheme="majorHAnsi"/>
          <w:sz w:val="24"/>
          <w:szCs w:val="24"/>
        </w:rPr>
        <w:t>To implement a range of prevention strategies to reduce the opportunity for people to commit criminal activity on school premises.</w:t>
      </w:r>
    </w:p>
    <w:p w:rsidR="00B871E3" w:rsidRPr="00246A8E" w:rsidRDefault="00B871E3" w:rsidP="00246A8E">
      <w:pPr>
        <w:pStyle w:val="NoSpacing"/>
        <w:numPr>
          <w:ilvl w:val="0"/>
          <w:numId w:val="9"/>
        </w:numPr>
        <w:ind w:left="709" w:right="95" w:hanging="567"/>
        <w:jc w:val="both"/>
        <w:rPr>
          <w:rFonts w:asciiTheme="majorHAnsi" w:hAnsiTheme="majorHAnsi"/>
          <w:sz w:val="24"/>
          <w:szCs w:val="24"/>
        </w:rPr>
      </w:pPr>
      <w:r w:rsidRPr="00246A8E">
        <w:rPr>
          <w:rFonts w:asciiTheme="majorHAnsi" w:hAnsiTheme="majorHAnsi"/>
          <w:sz w:val="24"/>
          <w:szCs w:val="24"/>
        </w:rPr>
        <w:t>To ensure the College complies with DET policy and guidelines.</w:t>
      </w:r>
    </w:p>
    <w:p w:rsidR="00246A8E" w:rsidRPr="00246A8E" w:rsidRDefault="00246A8E" w:rsidP="00246A8E">
      <w:pPr>
        <w:pStyle w:val="NoSpacing"/>
        <w:ind w:right="95"/>
        <w:jc w:val="both"/>
        <w:rPr>
          <w:rFonts w:asciiTheme="majorHAnsi" w:hAnsiTheme="majorHAnsi"/>
          <w:sz w:val="24"/>
          <w:szCs w:val="24"/>
        </w:rPr>
      </w:pPr>
    </w:p>
    <w:p w:rsidR="00B871E3" w:rsidRPr="00246A8E" w:rsidRDefault="00B871E3" w:rsidP="00246A8E">
      <w:pPr>
        <w:pStyle w:val="NoSpacing"/>
        <w:ind w:right="95"/>
        <w:jc w:val="both"/>
        <w:rPr>
          <w:rStyle w:val="SubtleReference"/>
        </w:rPr>
      </w:pPr>
      <w:r w:rsidRPr="00246A8E">
        <w:rPr>
          <w:rStyle w:val="SubtleReference"/>
        </w:rPr>
        <w:t>Implementation</w:t>
      </w:r>
    </w:p>
    <w:p w:rsidR="00B871E3" w:rsidRPr="00246A8E" w:rsidRDefault="00B871E3" w:rsidP="00246A8E">
      <w:pPr>
        <w:pStyle w:val="NoSpacing"/>
        <w:numPr>
          <w:ilvl w:val="0"/>
          <w:numId w:val="10"/>
        </w:numPr>
        <w:ind w:left="709" w:right="95" w:hanging="567"/>
        <w:jc w:val="both"/>
        <w:rPr>
          <w:rFonts w:asciiTheme="majorHAnsi" w:hAnsiTheme="majorHAnsi"/>
          <w:sz w:val="24"/>
          <w:szCs w:val="24"/>
        </w:rPr>
      </w:pPr>
      <w:r w:rsidRPr="00246A8E">
        <w:rPr>
          <w:rFonts w:asciiTheme="majorHAnsi" w:hAnsiTheme="majorHAnsi"/>
          <w:sz w:val="24"/>
          <w:szCs w:val="24"/>
        </w:rPr>
        <w:t>The College Council will consider the situational crime prevention strategies available to it.</w:t>
      </w:r>
    </w:p>
    <w:p w:rsidR="00126209" w:rsidRDefault="00B871E3" w:rsidP="00246A8E">
      <w:pPr>
        <w:pStyle w:val="NoSpacing"/>
        <w:numPr>
          <w:ilvl w:val="0"/>
          <w:numId w:val="10"/>
        </w:numPr>
        <w:ind w:left="709" w:right="95" w:hanging="567"/>
        <w:jc w:val="both"/>
        <w:rPr>
          <w:rFonts w:asciiTheme="majorHAnsi" w:hAnsiTheme="majorHAnsi"/>
          <w:sz w:val="24"/>
          <w:szCs w:val="24"/>
        </w:rPr>
      </w:pPr>
      <w:r w:rsidRPr="00246A8E">
        <w:rPr>
          <w:rFonts w:asciiTheme="majorHAnsi" w:hAnsiTheme="majorHAnsi"/>
          <w:sz w:val="24"/>
          <w:szCs w:val="24"/>
        </w:rPr>
        <w:t>Such strategies may include:</w:t>
      </w:r>
    </w:p>
    <w:p w:rsidR="00126209" w:rsidRDefault="00126209">
      <w:pPr>
        <w:rPr>
          <w:rFonts w:asciiTheme="majorHAnsi" w:hAnsiTheme="majorHAnsi"/>
          <w:sz w:val="24"/>
          <w:szCs w:val="24"/>
        </w:rPr>
      </w:pPr>
      <w:r>
        <w:rPr>
          <w:rFonts w:asciiTheme="majorHAnsi" w:hAnsiTheme="majorHAnsi"/>
          <w:sz w:val="24"/>
          <w:szCs w:val="24"/>
        </w:rPr>
        <w:br w:type="page"/>
      </w:r>
    </w:p>
    <w:p w:rsidR="00B871E3" w:rsidRPr="00126209" w:rsidRDefault="00B871E3" w:rsidP="00246A8E">
      <w:pPr>
        <w:pStyle w:val="NoSpacing"/>
        <w:numPr>
          <w:ilvl w:val="0"/>
          <w:numId w:val="10"/>
        </w:numPr>
        <w:ind w:left="709" w:right="95" w:hanging="567"/>
        <w:jc w:val="both"/>
        <w:rPr>
          <w:rFonts w:asciiTheme="majorHAnsi" w:hAnsiTheme="majorHAnsi"/>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5483"/>
      </w:tblGrid>
      <w:tr w:rsidR="00246A8E" w:rsidRPr="00246A8E" w:rsidTr="00246A8E">
        <w:tc>
          <w:tcPr>
            <w:tcW w:w="3589" w:type="dxa"/>
          </w:tcPr>
          <w:p w:rsidR="00B871E3" w:rsidRPr="00126209" w:rsidRDefault="00B871E3" w:rsidP="00246A8E">
            <w:pPr>
              <w:pStyle w:val="NoSpacing"/>
              <w:ind w:left="709" w:right="95" w:hanging="567"/>
              <w:rPr>
                <w:rFonts w:asciiTheme="majorHAnsi" w:hAnsiTheme="majorHAnsi"/>
                <w:szCs w:val="24"/>
              </w:rPr>
            </w:pPr>
            <w:r w:rsidRPr="00126209">
              <w:rPr>
                <w:rFonts w:asciiTheme="majorHAnsi" w:hAnsiTheme="majorHAnsi" w:cs="Arial"/>
                <w:bCs/>
                <w:szCs w:val="24"/>
              </w:rPr>
              <w:t>Target Hardening</w:t>
            </w:r>
          </w:p>
        </w:tc>
        <w:tc>
          <w:tcPr>
            <w:tcW w:w="5483" w:type="dxa"/>
          </w:tcPr>
          <w:p w:rsidR="00B871E3" w:rsidRPr="00126209" w:rsidRDefault="00B871E3" w:rsidP="00246A8E">
            <w:pPr>
              <w:pStyle w:val="NoSpacing"/>
              <w:ind w:left="709" w:right="95" w:hanging="567"/>
              <w:rPr>
                <w:rFonts w:asciiTheme="majorHAnsi" w:hAnsiTheme="majorHAnsi"/>
                <w:szCs w:val="24"/>
              </w:rPr>
            </w:pPr>
            <w:r w:rsidRPr="00126209">
              <w:rPr>
                <w:rFonts w:asciiTheme="majorHAnsi" w:hAnsiTheme="majorHAnsi"/>
                <w:szCs w:val="24"/>
              </w:rPr>
              <w:t xml:space="preserve">Installation of: </w:t>
            </w:r>
          </w:p>
          <w:p w:rsidR="00B871E3" w:rsidRPr="00126209" w:rsidRDefault="00B871E3" w:rsidP="00246A8E">
            <w:pPr>
              <w:pStyle w:val="NoSpacing"/>
              <w:numPr>
                <w:ilvl w:val="0"/>
                <w:numId w:val="21"/>
              </w:numPr>
              <w:ind w:right="95"/>
              <w:rPr>
                <w:rFonts w:asciiTheme="majorHAnsi" w:hAnsiTheme="majorHAnsi"/>
                <w:szCs w:val="24"/>
              </w:rPr>
            </w:pPr>
            <w:r w:rsidRPr="00126209">
              <w:rPr>
                <w:rFonts w:asciiTheme="majorHAnsi" w:hAnsiTheme="majorHAnsi"/>
                <w:szCs w:val="24"/>
              </w:rPr>
              <w:t>locks</w:t>
            </w:r>
          </w:p>
          <w:p w:rsidR="00B871E3" w:rsidRPr="00126209" w:rsidRDefault="00B871E3" w:rsidP="00246A8E">
            <w:pPr>
              <w:pStyle w:val="NoSpacing"/>
              <w:numPr>
                <w:ilvl w:val="0"/>
                <w:numId w:val="21"/>
              </w:numPr>
              <w:ind w:right="95"/>
              <w:rPr>
                <w:rFonts w:asciiTheme="majorHAnsi" w:hAnsiTheme="majorHAnsi"/>
                <w:szCs w:val="24"/>
              </w:rPr>
            </w:pPr>
            <w:r w:rsidRPr="00126209">
              <w:rPr>
                <w:rFonts w:asciiTheme="majorHAnsi" w:hAnsiTheme="majorHAnsi"/>
                <w:szCs w:val="24"/>
              </w:rPr>
              <w:t>window film</w:t>
            </w:r>
          </w:p>
          <w:p w:rsidR="00B871E3" w:rsidRPr="00126209" w:rsidRDefault="00B871E3" w:rsidP="00246A8E">
            <w:pPr>
              <w:pStyle w:val="NoSpacing"/>
              <w:numPr>
                <w:ilvl w:val="0"/>
                <w:numId w:val="21"/>
              </w:numPr>
              <w:ind w:right="95"/>
              <w:rPr>
                <w:rFonts w:asciiTheme="majorHAnsi" w:hAnsiTheme="majorHAnsi"/>
                <w:szCs w:val="24"/>
              </w:rPr>
            </w:pPr>
            <w:r w:rsidRPr="00126209">
              <w:rPr>
                <w:rFonts w:asciiTheme="majorHAnsi" w:hAnsiTheme="majorHAnsi"/>
                <w:szCs w:val="24"/>
              </w:rPr>
              <w:t>window and door grilles</w:t>
            </w:r>
          </w:p>
          <w:p w:rsidR="00B871E3" w:rsidRPr="00126209" w:rsidRDefault="00B871E3" w:rsidP="00246A8E">
            <w:pPr>
              <w:pStyle w:val="NoSpacing"/>
              <w:numPr>
                <w:ilvl w:val="0"/>
                <w:numId w:val="21"/>
              </w:numPr>
              <w:ind w:right="95"/>
              <w:rPr>
                <w:rFonts w:asciiTheme="majorHAnsi" w:hAnsiTheme="majorHAnsi"/>
                <w:szCs w:val="24"/>
              </w:rPr>
            </w:pPr>
            <w:r w:rsidRPr="00126209">
              <w:rPr>
                <w:rFonts w:asciiTheme="majorHAnsi" w:hAnsiTheme="majorHAnsi"/>
                <w:szCs w:val="24"/>
              </w:rPr>
              <w:t>computer-locking mechanisms</w:t>
            </w:r>
          </w:p>
        </w:tc>
      </w:tr>
      <w:tr w:rsidR="00246A8E" w:rsidRPr="00246A8E" w:rsidTr="00246A8E">
        <w:tc>
          <w:tcPr>
            <w:tcW w:w="3589" w:type="dxa"/>
          </w:tcPr>
          <w:p w:rsidR="00B871E3" w:rsidRPr="00126209" w:rsidRDefault="00B871E3" w:rsidP="00246A8E">
            <w:pPr>
              <w:pStyle w:val="NoSpacing"/>
              <w:ind w:left="709" w:right="95" w:hanging="567"/>
              <w:rPr>
                <w:rFonts w:asciiTheme="majorHAnsi" w:hAnsiTheme="majorHAnsi"/>
                <w:szCs w:val="24"/>
              </w:rPr>
            </w:pPr>
            <w:r w:rsidRPr="00126209">
              <w:rPr>
                <w:rFonts w:asciiTheme="majorHAnsi" w:hAnsiTheme="majorHAnsi" w:cs="Arial"/>
                <w:bCs/>
                <w:szCs w:val="24"/>
              </w:rPr>
              <w:t>Environmental Design</w:t>
            </w:r>
          </w:p>
        </w:tc>
        <w:tc>
          <w:tcPr>
            <w:tcW w:w="5483" w:type="dxa"/>
          </w:tcPr>
          <w:p w:rsidR="00B871E3" w:rsidRPr="00126209" w:rsidRDefault="00B871E3" w:rsidP="00246A8E">
            <w:pPr>
              <w:pStyle w:val="NoSpacing"/>
              <w:ind w:left="709" w:right="95" w:hanging="567"/>
              <w:rPr>
                <w:rFonts w:asciiTheme="majorHAnsi" w:hAnsiTheme="majorHAnsi"/>
                <w:szCs w:val="24"/>
              </w:rPr>
            </w:pPr>
            <w:r w:rsidRPr="00126209">
              <w:rPr>
                <w:rFonts w:asciiTheme="majorHAnsi" w:hAnsiTheme="majorHAnsi"/>
                <w:szCs w:val="24"/>
              </w:rPr>
              <w:t xml:space="preserve">Use of natural surveillance measures i.e. </w:t>
            </w:r>
          </w:p>
          <w:p w:rsidR="00B871E3" w:rsidRPr="00126209" w:rsidRDefault="00B871E3" w:rsidP="00246A8E">
            <w:pPr>
              <w:pStyle w:val="NoSpacing"/>
              <w:numPr>
                <w:ilvl w:val="0"/>
                <w:numId w:val="21"/>
              </w:numPr>
              <w:ind w:right="95"/>
              <w:rPr>
                <w:rFonts w:asciiTheme="majorHAnsi" w:hAnsiTheme="majorHAnsi"/>
                <w:szCs w:val="24"/>
              </w:rPr>
            </w:pPr>
            <w:r w:rsidRPr="00126209">
              <w:rPr>
                <w:rFonts w:asciiTheme="majorHAnsi" w:hAnsiTheme="majorHAnsi"/>
                <w:szCs w:val="24"/>
              </w:rPr>
              <w:t>trimmed foliage</w:t>
            </w:r>
          </w:p>
          <w:p w:rsidR="00B871E3" w:rsidRPr="00126209" w:rsidRDefault="00B871E3" w:rsidP="00246A8E">
            <w:pPr>
              <w:pStyle w:val="NoSpacing"/>
              <w:numPr>
                <w:ilvl w:val="0"/>
                <w:numId w:val="21"/>
              </w:numPr>
              <w:ind w:right="95"/>
              <w:rPr>
                <w:rFonts w:asciiTheme="majorHAnsi" w:hAnsiTheme="majorHAnsi"/>
                <w:szCs w:val="24"/>
              </w:rPr>
            </w:pPr>
            <w:r w:rsidRPr="00126209">
              <w:rPr>
                <w:rFonts w:asciiTheme="majorHAnsi" w:hAnsiTheme="majorHAnsi"/>
                <w:szCs w:val="24"/>
              </w:rPr>
              <w:t>lighting</w:t>
            </w:r>
          </w:p>
          <w:p w:rsidR="00B871E3" w:rsidRPr="00126209" w:rsidRDefault="00B871E3" w:rsidP="00246A8E">
            <w:pPr>
              <w:pStyle w:val="NoSpacing"/>
              <w:numPr>
                <w:ilvl w:val="0"/>
                <w:numId w:val="21"/>
              </w:numPr>
              <w:ind w:right="95"/>
              <w:rPr>
                <w:rFonts w:asciiTheme="majorHAnsi" w:hAnsiTheme="majorHAnsi"/>
                <w:szCs w:val="24"/>
              </w:rPr>
            </w:pPr>
            <w:r w:rsidRPr="00126209">
              <w:rPr>
                <w:rFonts w:asciiTheme="majorHAnsi" w:hAnsiTheme="majorHAnsi"/>
                <w:szCs w:val="24"/>
              </w:rPr>
              <w:t>fences</w:t>
            </w:r>
          </w:p>
          <w:p w:rsidR="00B871E3" w:rsidRPr="00126209" w:rsidRDefault="00B871E3" w:rsidP="00246A8E">
            <w:pPr>
              <w:pStyle w:val="NoSpacing"/>
              <w:numPr>
                <w:ilvl w:val="0"/>
                <w:numId w:val="21"/>
              </w:numPr>
              <w:ind w:right="95"/>
              <w:rPr>
                <w:rFonts w:asciiTheme="majorHAnsi" w:hAnsiTheme="majorHAnsi"/>
                <w:szCs w:val="24"/>
              </w:rPr>
            </w:pPr>
            <w:r w:rsidRPr="00126209">
              <w:rPr>
                <w:rFonts w:asciiTheme="majorHAnsi" w:hAnsiTheme="majorHAnsi"/>
                <w:szCs w:val="24"/>
              </w:rPr>
              <w:t>signage</w:t>
            </w:r>
          </w:p>
        </w:tc>
      </w:tr>
      <w:tr w:rsidR="00246A8E" w:rsidRPr="00246A8E" w:rsidTr="00246A8E">
        <w:tc>
          <w:tcPr>
            <w:tcW w:w="3589" w:type="dxa"/>
          </w:tcPr>
          <w:p w:rsidR="00B871E3" w:rsidRPr="00126209" w:rsidRDefault="00B871E3" w:rsidP="00246A8E">
            <w:pPr>
              <w:pStyle w:val="NoSpacing"/>
              <w:ind w:left="709" w:right="95" w:hanging="567"/>
              <w:rPr>
                <w:rFonts w:asciiTheme="majorHAnsi" w:hAnsiTheme="majorHAnsi"/>
                <w:szCs w:val="24"/>
              </w:rPr>
            </w:pPr>
            <w:r w:rsidRPr="00126209">
              <w:rPr>
                <w:rFonts w:asciiTheme="majorHAnsi" w:hAnsiTheme="majorHAnsi" w:cs="Arial"/>
                <w:bCs/>
                <w:szCs w:val="24"/>
              </w:rPr>
              <w:t>Electronic Systems</w:t>
            </w:r>
          </w:p>
        </w:tc>
        <w:tc>
          <w:tcPr>
            <w:tcW w:w="5483" w:type="dxa"/>
          </w:tcPr>
          <w:p w:rsidR="00B871E3" w:rsidRPr="00126209" w:rsidRDefault="00B871E3" w:rsidP="00246A8E">
            <w:pPr>
              <w:pStyle w:val="NoSpacing"/>
              <w:ind w:left="709" w:right="95" w:hanging="567"/>
              <w:rPr>
                <w:rFonts w:asciiTheme="majorHAnsi" w:hAnsiTheme="majorHAnsi"/>
                <w:szCs w:val="24"/>
              </w:rPr>
            </w:pPr>
            <w:r w:rsidRPr="00126209">
              <w:rPr>
                <w:rFonts w:asciiTheme="majorHAnsi" w:hAnsiTheme="majorHAnsi"/>
                <w:szCs w:val="24"/>
              </w:rPr>
              <w:t xml:space="preserve">Installation of: </w:t>
            </w:r>
          </w:p>
          <w:p w:rsidR="00B871E3" w:rsidRPr="00126209" w:rsidRDefault="00B871E3" w:rsidP="00246A8E">
            <w:pPr>
              <w:pStyle w:val="NoSpacing"/>
              <w:numPr>
                <w:ilvl w:val="0"/>
                <w:numId w:val="21"/>
              </w:numPr>
              <w:ind w:right="95"/>
              <w:rPr>
                <w:rFonts w:asciiTheme="majorHAnsi" w:hAnsiTheme="majorHAnsi"/>
                <w:szCs w:val="24"/>
              </w:rPr>
            </w:pPr>
            <w:r w:rsidRPr="00126209">
              <w:rPr>
                <w:rFonts w:asciiTheme="majorHAnsi" w:hAnsiTheme="majorHAnsi"/>
                <w:szCs w:val="24"/>
              </w:rPr>
              <w:t>alarms (</w:t>
            </w:r>
            <w:hyperlink r:id="rId10" w:anchor="1" w:history="1">
              <w:r w:rsidRPr="00126209">
                <w:rPr>
                  <w:rFonts w:asciiTheme="majorHAnsi" w:hAnsiTheme="majorHAnsi"/>
                  <w:szCs w:val="24"/>
                </w:rPr>
                <w:t>intruder detection systems</w:t>
              </w:r>
            </w:hyperlink>
            <w:r w:rsidRPr="00126209">
              <w:rPr>
                <w:rFonts w:asciiTheme="majorHAnsi" w:hAnsiTheme="majorHAnsi"/>
                <w:szCs w:val="24"/>
              </w:rPr>
              <w:t>), communication methods</w:t>
            </w:r>
          </w:p>
          <w:p w:rsidR="00B871E3" w:rsidRPr="00126209" w:rsidRDefault="00E512C0" w:rsidP="00246A8E">
            <w:pPr>
              <w:pStyle w:val="NoSpacing"/>
              <w:numPr>
                <w:ilvl w:val="0"/>
                <w:numId w:val="21"/>
              </w:numPr>
              <w:ind w:right="95"/>
              <w:rPr>
                <w:rFonts w:asciiTheme="majorHAnsi" w:hAnsiTheme="majorHAnsi"/>
                <w:szCs w:val="24"/>
              </w:rPr>
            </w:pPr>
            <w:hyperlink r:id="rId11" w:anchor="2" w:history="1">
              <w:r w:rsidR="00B871E3" w:rsidRPr="00126209">
                <w:rPr>
                  <w:rFonts w:asciiTheme="majorHAnsi" w:hAnsiTheme="majorHAnsi"/>
                  <w:szCs w:val="24"/>
                </w:rPr>
                <w:t>CCTV</w:t>
              </w:r>
            </w:hyperlink>
          </w:p>
        </w:tc>
      </w:tr>
      <w:tr w:rsidR="00246A8E" w:rsidRPr="00246A8E" w:rsidTr="00246A8E">
        <w:tc>
          <w:tcPr>
            <w:tcW w:w="3589" w:type="dxa"/>
          </w:tcPr>
          <w:p w:rsidR="00B871E3" w:rsidRPr="00126209" w:rsidRDefault="00B871E3" w:rsidP="00246A8E">
            <w:pPr>
              <w:pStyle w:val="NoSpacing"/>
              <w:ind w:left="709" w:right="95" w:hanging="567"/>
              <w:rPr>
                <w:rFonts w:asciiTheme="majorHAnsi" w:hAnsiTheme="majorHAnsi"/>
                <w:szCs w:val="24"/>
              </w:rPr>
            </w:pPr>
            <w:r w:rsidRPr="00126209">
              <w:rPr>
                <w:rFonts w:asciiTheme="majorHAnsi" w:hAnsiTheme="majorHAnsi" w:cs="Arial"/>
                <w:bCs/>
                <w:szCs w:val="24"/>
              </w:rPr>
              <w:t>Policies</w:t>
            </w:r>
          </w:p>
        </w:tc>
        <w:tc>
          <w:tcPr>
            <w:tcW w:w="5483" w:type="dxa"/>
          </w:tcPr>
          <w:p w:rsidR="00B871E3" w:rsidRPr="00126209" w:rsidRDefault="00B871E3" w:rsidP="00246A8E">
            <w:pPr>
              <w:pStyle w:val="NoSpacing"/>
              <w:ind w:left="709" w:right="95" w:hanging="567"/>
              <w:rPr>
                <w:rFonts w:asciiTheme="majorHAnsi" w:hAnsiTheme="majorHAnsi"/>
                <w:szCs w:val="24"/>
              </w:rPr>
            </w:pPr>
            <w:r w:rsidRPr="00126209">
              <w:rPr>
                <w:rFonts w:asciiTheme="majorHAnsi" w:hAnsiTheme="majorHAnsi"/>
                <w:szCs w:val="24"/>
              </w:rPr>
              <w:t xml:space="preserve">Document requirements for: </w:t>
            </w:r>
          </w:p>
          <w:p w:rsidR="00B871E3" w:rsidRPr="00126209" w:rsidRDefault="00B871E3" w:rsidP="00246A8E">
            <w:pPr>
              <w:pStyle w:val="NoSpacing"/>
              <w:numPr>
                <w:ilvl w:val="0"/>
                <w:numId w:val="21"/>
              </w:numPr>
              <w:ind w:right="95"/>
              <w:rPr>
                <w:rFonts w:asciiTheme="majorHAnsi" w:hAnsiTheme="majorHAnsi"/>
                <w:szCs w:val="24"/>
              </w:rPr>
            </w:pPr>
            <w:r w:rsidRPr="00126209">
              <w:rPr>
                <w:rFonts w:asciiTheme="majorHAnsi" w:hAnsiTheme="majorHAnsi"/>
                <w:szCs w:val="24"/>
              </w:rPr>
              <w:t>asset marking</w:t>
            </w:r>
          </w:p>
          <w:p w:rsidR="00B871E3" w:rsidRPr="00126209" w:rsidRDefault="00B871E3" w:rsidP="00246A8E">
            <w:pPr>
              <w:pStyle w:val="NoSpacing"/>
              <w:numPr>
                <w:ilvl w:val="0"/>
                <w:numId w:val="21"/>
              </w:numPr>
              <w:ind w:right="95"/>
              <w:rPr>
                <w:rFonts w:asciiTheme="majorHAnsi" w:hAnsiTheme="majorHAnsi"/>
                <w:szCs w:val="24"/>
              </w:rPr>
            </w:pPr>
            <w:r w:rsidRPr="00126209">
              <w:rPr>
                <w:rFonts w:asciiTheme="majorHAnsi" w:hAnsiTheme="majorHAnsi"/>
                <w:szCs w:val="24"/>
              </w:rPr>
              <w:t>secure equipment storage and location</w:t>
            </w:r>
          </w:p>
        </w:tc>
      </w:tr>
      <w:tr w:rsidR="00246A8E" w:rsidRPr="00246A8E" w:rsidTr="00246A8E">
        <w:tc>
          <w:tcPr>
            <w:tcW w:w="3589" w:type="dxa"/>
          </w:tcPr>
          <w:p w:rsidR="00B871E3" w:rsidRPr="00126209" w:rsidRDefault="00B871E3" w:rsidP="00246A8E">
            <w:pPr>
              <w:pStyle w:val="NoSpacing"/>
              <w:ind w:left="709" w:right="95" w:hanging="567"/>
              <w:rPr>
                <w:rFonts w:asciiTheme="majorHAnsi" w:hAnsiTheme="majorHAnsi"/>
                <w:szCs w:val="24"/>
              </w:rPr>
            </w:pPr>
            <w:r w:rsidRPr="00126209">
              <w:rPr>
                <w:rFonts w:asciiTheme="majorHAnsi" w:hAnsiTheme="majorHAnsi" w:cs="Arial"/>
                <w:bCs/>
                <w:szCs w:val="24"/>
              </w:rPr>
              <w:t>Procedures</w:t>
            </w:r>
          </w:p>
        </w:tc>
        <w:tc>
          <w:tcPr>
            <w:tcW w:w="5483" w:type="dxa"/>
          </w:tcPr>
          <w:p w:rsidR="00B871E3" w:rsidRPr="00126209" w:rsidRDefault="00B871E3" w:rsidP="00246A8E">
            <w:pPr>
              <w:pStyle w:val="NoSpacing"/>
              <w:ind w:left="709" w:right="95" w:hanging="567"/>
              <w:rPr>
                <w:rFonts w:asciiTheme="majorHAnsi" w:hAnsiTheme="majorHAnsi"/>
                <w:szCs w:val="24"/>
              </w:rPr>
            </w:pPr>
            <w:r w:rsidRPr="00126209">
              <w:rPr>
                <w:rFonts w:asciiTheme="majorHAnsi" w:hAnsiTheme="majorHAnsi"/>
                <w:szCs w:val="24"/>
              </w:rPr>
              <w:t xml:space="preserve">Implement: </w:t>
            </w:r>
          </w:p>
          <w:p w:rsidR="00B871E3" w:rsidRPr="00126209" w:rsidRDefault="00B871E3" w:rsidP="00246A8E">
            <w:pPr>
              <w:pStyle w:val="NoSpacing"/>
              <w:numPr>
                <w:ilvl w:val="0"/>
                <w:numId w:val="21"/>
              </w:numPr>
              <w:ind w:right="95"/>
              <w:rPr>
                <w:rFonts w:asciiTheme="majorHAnsi" w:hAnsiTheme="majorHAnsi"/>
                <w:szCs w:val="24"/>
              </w:rPr>
            </w:pPr>
            <w:r w:rsidRPr="00126209">
              <w:rPr>
                <w:rFonts w:asciiTheme="majorHAnsi" w:hAnsiTheme="majorHAnsi"/>
                <w:szCs w:val="24"/>
              </w:rPr>
              <w:t>regular/daily checking procedures</w:t>
            </w:r>
          </w:p>
          <w:p w:rsidR="00B871E3" w:rsidRPr="00126209" w:rsidRDefault="00B871E3" w:rsidP="00246A8E">
            <w:pPr>
              <w:pStyle w:val="NoSpacing"/>
              <w:numPr>
                <w:ilvl w:val="0"/>
                <w:numId w:val="21"/>
              </w:numPr>
              <w:ind w:right="95"/>
              <w:rPr>
                <w:rFonts w:asciiTheme="majorHAnsi" w:hAnsiTheme="majorHAnsi"/>
                <w:szCs w:val="24"/>
              </w:rPr>
            </w:pPr>
            <w:r w:rsidRPr="00126209">
              <w:rPr>
                <w:rFonts w:asciiTheme="majorHAnsi" w:hAnsiTheme="majorHAnsi"/>
                <w:szCs w:val="24"/>
              </w:rPr>
              <w:t>window and door locking practices</w:t>
            </w:r>
          </w:p>
          <w:p w:rsidR="00B871E3" w:rsidRPr="00126209" w:rsidRDefault="00B871E3" w:rsidP="00246A8E">
            <w:pPr>
              <w:pStyle w:val="NoSpacing"/>
              <w:numPr>
                <w:ilvl w:val="0"/>
                <w:numId w:val="21"/>
              </w:numPr>
              <w:ind w:right="95"/>
              <w:rPr>
                <w:rFonts w:asciiTheme="majorHAnsi" w:hAnsiTheme="majorHAnsi"/>
                <w:szCs w:val="24"/>
              </w:rPr>
            </w:pPr>
            <w:r w:rsidRPr="00126209">
              <w:rPr>
                <w:rFonts w:asciiTheme="majorHAnsi" w:hAnsiTheme="majorHAnsi"/>
                <w:szCs w:val="24"/>
              </w:rPr>
              <w:t>regular equipment audits.</w:t>
            </w:r>
          </w:p>
        </w:tc>
      </w:tr>
    </w:tbl>
    <w:p w:rsidR="00486E4F" w:rsidRPr="00246A8E" w:rsidRDefault="00486E4F" w:rsidP="00246A8E">
      <w:pPr>
        <w:pStyle w:val="NoSpacing"/>
        <w:numPr>
          <w:ilvl w:val="0"/>
          <w:numId w:val="19"/>
        </w:numPr>
        <w:ind w:left="709" w:right="95" w:hanging="567"/>
        <w:jc w:val="both"/>
        <w:rPr>
          <w:rFonts w:asciiTheme="majorHAnsi" w:hAnsiTheme="majorHAnsi"/>
          <w:sz w:val="24"/>
          <w:szCs w:val="24"/>
          <w:lang w:val="en" w:eastAsia="en-AU"/>
        </w:rPr>
      </w:pPr>
      <w:r w:rsidRPr="00246A8E">
        <w:rPr>
          <w:rFonts w:asciiTheme="majorHAnsi" w:hAnsiTheme="majorHAnsi"/>
          <w:sz w:val="24"/>
          <w:szCs w:val="24"/>
          <w:lang w:val="en" w:eastAsia="en-AU"/>
        </w:rPr>
        <w:t xml:space="preserve">If the school installs CCTV such installation will comply with legislative and Department requirements. </w:t>
      </w:r>
    </w:p>
    <w:p w:rsidR="00486E4F" w:rsidRPr="00246A8E" w:rsidRDefault="00486E4F" w:rsidP="00246A8E">
      <w:pPr>
        <w:pStyle w:val="NoSpacing"/>
        <w:numPr>
          <w:ilvl w:val="0"/>
          <w:numId w:val="20"/>
        </w:numPr>
        <w:ind w:left="1276" w:right="95" w:hanging="567"/>
        <w:jc w:val="both"/>
        <w:rPr>
          <w:rFonts w:asciiTheme="majorHAnsi" w:hAnsiTheme="majorHAnsi"/>
          <w:sz w:val="24"/>
          <w:szCs w:val="24"/>
          <w:lang w:val="en" w:eastAsia="en-AU"/>
        </w:rPr>
      </w:pPr>
      <w:r w:rsidRPr="00246A8E">
        <w:rPr>
          <w:rFonts w:asciiTheme="majorHAnsi" w:hAnsiTheme="majorHAnsi"/>
          <w:sz w:val="24"/>
          <w:szCs w:val="24"/>
          <w:lang w:val="en" w:eastAsia="en-AU"/>
        </w:rPr>
        <w:t>Cameras may not be used:</w:t>
      </w:r>
    </w:p>
    <w:p w:rsidR="00486E4F" w:rsidRPr="00246A8E" w:rsidRDefault="00486E4F" w:rsidP="00246A8E">
      <w:pPr>
        <w:pStyle w:val="NoSpacing"/>
        <w:numPr>
          <w:ilvl w:val="0"/>
          <w:numId w:val="17"/>
        </w:numPr>
        <w:ind w:left="1843" w:right="95" w:hanging="567"/>
        <w:jc w:val="both"/>
        <w:rPr>
          <w:rFonts w:asciiTheme="majorHAnsi" w:hAnsiTheme="majorHAnsi"/>
          <w:sz w:val="24"/>
          <w:szCs w:val="24"/>
          <w:lang w:val="en" w:eastAsia="en-AU"/>
        </w:rPr>
      </w:pPr>
      <w:r w:rsidRPr="00246A8E">
        <w:rPr>
          <w:rFonts w:asciiTheme="majorHAnsi" w:hAnsiTheme="majorHAnsi"/>
          <w:sz w:val="24"/>
          <w:szCs w:val="24"/>
          <w:lang w:val="en" w:eastAsia="en-AU"/>
        </w:rPr>
        <w:t>in private locations such as toilets</w:t>
      </w:r>
    </w:p>
    <w:p w:rsidR="00486E4F" w:rsidRPr="00246A8E" w:rsidRDefault="00486E4F" w:rsidP="00246A8E">
      <w:pPr>
        <w:pStyle w:val="NoSpacing"/>
        <w:numPr>
          <w:ilvl w:val="0"/>
          <w:numId w:val="17"/>
        </w:numPr>
        <w:ind w:left="1843" w:right="95" w:hanging="567"/>
        <w:jc w:val="both"/>
        <w:rPr>
          <w:rFonts w:asciiTheme="majorHAnsi" w:hAnsiTheme="majorHAnsi"/>
          <w:sz w:val="24"/>
          <w:szCs w:val="24"/>
          <w:lang w:val="en" w:eastAsia="en-AU"/>
        </w:rPr>
      </w:pPr>
      <w:r w:rsidRPr="00246A8E">
        <w:rPr>
          <w:rFonts w:asciiTheme="majorHAnsi" w:hAnsiTheme="majorHAnsi"/>
          <w:sz w:val="24"/>
          <w:szCs w:val="24"/>
          <w:lang w:val="en" w:eastAsia="en-AU"/>
        </w:rPr>
        <w:t>in change rooms or staff rooms</w:t>
      </w:r>
    </w:p>
    <w:p w:rsidR="00486E4F" w:rsidRPr="00246A8E" w:rsidRDefault="00486E4F" w:rsidP="00246A8E">
      <w:pPr>
        <w:pStyle w:val="NoSpacing"/>
        <w:numPr>
          <w:ilvl w:val="0"/>
          <w:numId w:val="17"/>
        </w:numPr>
        <w:ind w:left="1843" w:right="95" w:hanging="567"/>
        <w:jc w:val="both"/>
        <w:rPr>
          <w:rFonts w:asciiTheme="majorHAnsi" w:hAnsiTheme="majorHAnsi"/>
          <w:sz w:val="24"/>
          <w:szCs w:val="24"/>
          <w:lang w:val="en" w:eastAsia="en-AU"/>
        </w:rPr>
      </w:pPr>
      <w:r w:rsidRPr="00246A8E">
        <w:rPr>
          <w:rFonts w:asciiTheme="majorHAnsi" w:hAnsiTheme="majorHAnsi"/>
          <w:sz w:val="24"/>
          <w:szCs w:val="24"/>
          <w:lang w:val="en" w:eastAsia="en-AU"/>
        </w:rPr>
        <w:t>to monitor student or staff performance.</w:t>
      </w:r>
    </w:p>
    <w:p w:rsidR="00486E4F" w:rsidRPr="00246A8E" w:rsidRDefault="00486E4F" w:rsidP="00246A8E">
      <w:pPr>
        <w:pStyle w:val="NoSpacing"/>
        <w:numPr>
          <w:ilvl w:val="0"/>
          <w:numId w:val="18"/>
        </w:numPr>
        <w:ind w:left="1276" w:right="95" w:hanging="567"/>
        <w:jc w:val="both"/>
        <w:rPr>
          <w:rFonts w:asciiTheme="majorHAnsi" w:hAnsiTheme="majorHAnsi"/>
          <w:sz w:val="24"/>
          <w:szCs w:val="24"/>
          <w:lang w:val="en" w:eastAsia="en-AU"/>
        </w:rPr>
      </w:pPr>
      <w:r w:rsidRPr="00246A8E">
        <w:rPr>
          <w:rFonts w:asciiTheme="majorHAnsi" w:hAnsiTheme="majorHAnsi"/>
          <w:sz w:val="24"/>
          <w:szCs w:val="24"/>
          <w:lang w:val="en" w:eastAsia="en-AU"/>
        </w:rPr>
        <w:t>Hidden or covert cameras are also prohibited.</w:t>
      </w:r>
    </w:p>
    <w:p w:rsidR="00486E4F" w:rsidRPr="00246A8E" w:rsidRDefault="00486E4F" w:rsidP="00246A8E">
      <w:pPr>
        <w:pStyle w:val="ListParagraph"/>
        <w:numPr>
          <w:ilvl w:val="0"/>
          <w:numId w:val="16"/>
        </w:numPr>
        <w:ind w:left="709" w:right="95" w:hanging="567"/>
        <w:jc w:val="both"/>
        <w:rPr>
          <w:rFonts w:asciiTheme="majorHAnsi" w:hAnsiTheme="majorHAnsi"/>
          <w:lang w:val="en-US"/>
        </w:rPr>
      </w:pPr>
      <w:r w:rsidRPr="00246A8E">
        <w:rPr>
          <w:rFonts w:asciiTheme="majorHAnsi" w:hAnsiTheme="majorHAnsi"/>
          <w:lang w:val="en-US"/>
        </w:rPr>
        <w:t>The school will report criminal activities, including vandalism, threats of assault, arson and burglary, are to be reported without delay to the police and to the Security Services Unit.</w:t>
      </w:r>
    </w:p>
    <w:p w:rsidR="00486E4F" w:rsidRPr="00126209" w:rsidRDefault="00486E4F" w:rsidP="00126209">
      <w:pPr>
        <w:pStyle w:val="ListParagraph"/>
        <w:numPr>
          <w:ilvl w:val="0"/>
          <w:numId w:val="16"/>
        </w:numPr>
        <w:ind w:left="709" w:right="95" w:hanging="567"/>
        <w:jc w:val="both"/>
        <w:rPr>
          <w:rFonts w:asciiTheme="majorHAnsi" w:hAnsiTheme="majorHAnsi"/>
          <w:i/>
        </w:rPr>
      </w:pPr>
      <w:r w:rsidRPr="00246A8E">
        <w:rPr>
          <w:rFonts w:asciiTheme="majorHAnsi" w:hAnsiTheme="majorHAnsi"/>
          <w:lang w:val="en-US"/>
        </w:rPr>
        <w:t xml:space="preserve">Please refer also to the school’s </w:t>
      </w:r>
      <w:r w:rsidRPr="00246A8E">
        <w:rPr>
          <w:rFonts w:asciiTheme="majorHAnsi" w:hAnsiTheme="majorHAnsi"/>
          <w:i/>
          <w:lang w:val="en-US"/>
        </w:rPr>
        <w:t>Risk Management Policy.</w:t>
      </w:r>
    </w:p>
    <w:p w:rsidR="00126209" w:rsidRPr="00126209" w:rsidRDefault="00126209" w:rsidP="00126209">
      <w:pPr>
        <w:pStyle w:val="ListParagraph"/>
        <w:ind w:left="709" w:right="95"/>
        <w:jc w:val="both"/>
        <w:rPr>
          <w:rFonts w:asciiTheme="majorHAnsi" w:hAnsiTheme="majorHAnsi"/>
          <w:i/>
        </w:rPr>
      </w:pPr>
    </w:p>
    <w:p w:rsidR="00246A8E" w:rsidRDefault="00486E4F" w:rsidP="00246A8E">
      <w:pPr>
        <w:ind w:left="709" w:right="95" w:hanging="567"/>
        <w:jc w:val="both"/>
        <w:rPr>
          <w:rStyle w:val="SubtleReference"/>
        </w:rPr>
      </w:pPr>
      <w:r w:rsidRPr="00246A8E">
        <w:rPr>
          <w:rStyle w:val="SubtleReference"/>
        </w:rPr>
        <w:t>Evaluation</w:t>
      </w:r>
    </w:p>
    <w:p w:rsidR="00B871E3" w:rsidRPr="00126209" w:rsidRDefault="00486E4F" w:rsidP="00126209">
      <w:pPr>
        <w:ind w:left="142" w:right="95"/>
        <w:jc w:val="both"/>
        <w:rPr>
          <w:rFonts w:asciiTheme="majorHAnsi" w:hAnsiTheme="majorHAnsi"/>
          <w:smallCaps/>
          <w:sz w:val="24"/>
          <w:u w:val="single"/>
        </w:rPr>
      </w:pPr>
      <w:r w:rsidRPr="00246A8E">
        <w:rPr>
          <w:rFonts w:asciiTheme="majorHAnsi" w:hAnsiTheme="majorHAnsi"/>
          <w:sz w:val="24"/>
          <w:szCs w:val="24"/>
        </w:rPr>
        <w:t>The policy will be reviewed as part of the school’s three-year review cycle (March 2018) or if guidelines change (latest DET update early July 2017).</w:t>
      </w:r>
      <w:bookmarkStart w:id="0" w:name="_GoBack"/>
      <w:bookmarkEnd w:id="0"/>
    </w:p>
    <w:p w:rsidR="00246A8E" w:rsidRDefault="00246A8E" w:rsidP="00246A8E">
      <w:pPr>
        <w:ind w:left="709" w:right="95" w:hanging="567"/>
        <w:jc w:val="both"/>
        <w:rPr>
          <w:rStyle w:val="SubtleReference"/>
        </w:rPr>
      </w:pPr>
      <w:r>
        <w:rPr>
          <w:rStyle w:val="SubtleReference"/>
        </w:rPr>
        <w:t>Ratification</w:t>
      </w:r>
    </w:p>
    <w:p w:rsidR="00246A8E" w:rsidRPr="00126209" w:rsidRDefault="00B871E3" w:rsidP="00126209">
      <w:pPr>
        <w:ind w:left="709" w:right="95" w:hanging="567"/>
        <w:rPr>
          <w:rStyle w:val="SubtleReference"/>
          <w:rFonts w:ascii="Calibri" w:hAnsi="Calibri"/>
          <w:smallCaps w:val="0"/>
          <w:sz w:val="21"/>
          <w:szCs w:val="21"/>
          <w:u w:val="none"/>
        </w:rPr>
      </w:pPr>
      <w:r w:rsidRPr="00246A8E">
        <w:rPr>
          <w:rFonts w:asciiTheme="majorHAnsi" w:hAnsiTheme="majorHAnsi"/>
          <w:sz w:val="24"/>
          <w:szCs w:val="24"/>
        </w:rPr>
        <w:t xml:space="preserve">This policy was ratified by </w:t>
      </w:r>
      <w:r w:rsidR="00CC0ED6" w:rsidRPr="00246A8E">
        <w:rPr>
          <w:rFonts w:asciiTheme="majorHAnsi" w:hAnsiTheme="majorHAnsi"/>
          <w:sz w:val="24"/>
          <w:szCs w:val="24"/>
        </w:rPr>
        <w:t xml:space="preserve">the </w:t>
      </w:r>
      <w:r w:rsidRPr="00246A8E">
        <w:rPr>
          <w:rFonts w:asciiTheme="majorHAnsi" w:hAnsiTheme="majorHAnsi"/>
          <w:sz w:val="24"/>
          <w:szCs w:val="24"/>
        </w:rPr>
        <w:t>College Council on</w:t>
      </w:r>
      <w:r w:rsidR="00246A8E">
        <w:rPr>
          <w:rFonts w:asciiTheme="majorHAnsi" w:hAnsiTheme="majorHAnsi"/>
          <w:sz w:val="24"/>
          <w:szCs w:val="24"/>
        </w:rPr>
        <w:t xml:space="preserve">15th </w:t>
      </w:r>
      <w:proofErr w:type="gramStart"/>
      <w:r w:rsidR="00246A8E">
        <w:rPr>
          <w:rFonts w:asciiTheme="majorHAnsi" w:hAnsiTheme="majorHAnsi"/>
          <w:sz w:val="24"/>
          <w:szCs w:val="24"/>
        </w:rPr>
        <w:t>February,</w:t>
      </w:r>
      <w:proofErr w:type="gramEnd"/>
      <w:r w:rsidR="00246A8E">
        <w:rPr>
          <w:rFonts w:asciiTheme="majorHAnsi" w:hAnsiTheme="majorHAnsi"/>
          <w:sz w:val="24"/>
          <w:szCs w:val="24"/>
        </w:rPr>
        <w:t xml:space="preserve"> 2018.</w:t>
      </w:r>
    </w:p>
    <w:p w:rsidR="00B871E3" w:rsidRPr="00246A8E" w:rsidRDefault="00B871E3" w:rsidP="00246A8E">
      <w:pPr>
        <w:ind w:left="709" w:right="95" w:hanging="567"/>
        <w:jc w:val="both"/>
        <w:rPr>
          <w:rStyle w:val="SubtleReference"/>
        </w:rPr>
      </w:pPr>
      <w:r w:rsidRPr="00246A8E">
        <w:rPr>
          <w:rStyle w:val="SubtleReference"/>
        </w:rPr>
        <w:t>Reference</w:t>
      </w:r>
    </w:p>
    <w:p w:rsidR="00B871E3" w:rsidRPr="00246A8E" w:rsidRDefault="00E512C0" w:rsidP="00246A8E">
      <w:pPr>
        <w:ind w:left="709" w:right="95" w:hanging="567"/>
        <w:rPr>
          <w:rFonts w:asciiTheme="majorHAnsi" w:hAnsiTheme="majorHAnsi"/>
          <w:sz w:val="24"/>
          <w:szCs w:val="24"/>
        </w:rPr>
      </w:pPr>
      <w:hyperlink r:id="rId12" w:history="1">
        <w:r w:rsidR="00B871E3" w:rsidRPr="00246A8E">
          <w:rPr>
            <w:rFonts w:asciiTheme="majorHAnsi" w:hAnsiTheme="majorHAnsi"/>
            <w:sz w:val="24"/>
            <w:szCs w:val="24"/>
          </w:rPr>
          <w:t>www.education.vic.gov.au/school/principals/spag/management/pages/security.aspx</w:t>
        </w:r>
      </w:hyperlink>
    </w:p>
    <w:sectPr w:rsidR="00B871E3" w:rsidRPr="00246A8E" w:rsidSect="00126209">
      <w:headerReference w:type="default" r:id="rId13"/>
      <w:footerReference w:type="default" r:id="rId14"/>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2C0" w:rsidRDefault="00E512C0" w:rsidP="00FD211A">
      <w:pPr>
        <w:spacing w:after="0" w:line="240" w:lineRule="auto"/>
      </w:pPr>
      <w:r>
        <w:separator/>
      </w:r>
    </w:p>
  </w:endnote>
  <w:endnote w:type="continuationSeparator" w:id="0">
    <w:p w:rsidR="00E512C0" w:rsidRDefault="00E512C0" w:rsidP="00FD2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525119"/>
      <w:docPartObj>
        <w:docPartGallery w:val="Page Numbers (Bottom of Page)"/>
        <w:docPartUnique/>
      </w:docPartObj>
    </w:sdtPr>
    <w:sdtEndPr>
      <w:rPr>
        <w:noProof/>
      </w:rPr>
    </w:sdtEndPr>
    <w:sdtContent>
      <w:p w:rsidR="00FD211A" w:rsidRDefault="005241A5" w:rsidP="007A72E1">
        <w:pPr>
          <w:pStyle w:val="Footer"/>
          <w:jc w:val="center"/>
        </w:pPr>
        <w:r>
          <w:fldChar w:fldCharType="begin"/>
        </w:r>
        <w:r>
          <w:instrText xml:space="preserve"> PAGE   \* MERGEFORMAT </w:instrText>
        </w:r>
        <w:r>
          <w:fldChar w:fldCharType="separate"/>
        </w:r>
        <w:r w:rsidR="008D4FF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2C0" w:rsidRDefault="00E512C0" w:rsidP="00FD211A">
      <w:pPr>
        <w:spacing w:after="0" w:line="240" w:lineRule="auto"/>
      </w:pPr>
      <w:r>
        <w:separator/>
      </w:r>
    </w:p>
  </w:footnote>
  <w:footnote w:type="continuationSeparator" w:id="0">
    <w:p w:rsidR="00E512C0" w:rsidRDefault="00E512C0" w:rsidP="00FD2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799"/>
      <w:gridCol w:w="2217"/>
    </w:tblGrid>
    <w:tr w:rsidR="00FD211A" w:rsidTr="00246A8E">
      <w:trPr>
        <w:trHeight w:val="1691"/>
      </w:trPr>
      <w:tc>
        <w:tcPr>
          <w:tcW w:w="6799" w:type="dxa"/>
          <w:tcBorders>
            <w:top w:val="single" w:sz="4" w:space="0" w:color="auto"/>
            <w:left w:val="single" w:sz="4" w:space="0" w:color="auto"/>
            <w:bottom w:val="single" w:sz="4" w:space="0" w:color="auto"/>
            <w:right w:val="single" w:sz="4" w:space="0" w:color="auto"/>
          </w:tcBorders>
          <w:vAlign w:val="center"/>
        </w:tcPr>
        <w:p w:rsidR="00FD211A" w:rsidRPr="00246A8E" w:rsidRDefault="00FD211A" w:rsidP="00246A8E">
          <w:pPr>
            <w:jc w:val="center"/>
            <w:rPr>
              <w:rFonts w:asciiTheme="majorHAnsi" w:hAnsiTheme="majorHAnsi"/>
              <w:lang w:eastAsia="en-AU"/>
            </w:rPr>
          </w:pPr>
          <w:r w:rsidRPr="00246A8E">
            <w:rPr>
              <w:rFonts w:asciiTheme="majorHAnsi" w:hAnsiTheme="majorHAnsi"/>
              <w:sz w:val="36"/>
              <w:lang w:eastAsia="en-AU"/>
            </w:rPr>
            <w:t>SECURITY RISK MANAGEMENT POLICY</w:t>
          </w:r>
        </w:p>
      </w:tc>
      <w:tc>
        <w:tcPr>
          <w:tcW w:w="2217" w:type="dxa"/>
          <w:tcBorders>
            <w:top w:val="single" w:sz="4" w:space="0" w:color="auto"/>
            <w:left w:val="single" w:sz="4" w:space="0" w:color="auto"/>
            <w:bottom w:val="single" w:sz="4" w:space="0" w:color="auto"/>
            <w:right w:val="single" w:sz="4" w:space="0" w:color="auto"/>
          </w:tcBorders>
          <w:hideMark/>
        </w:tcPr>
        <w:p w:rsidR="00FD211A" w:rsidRDefault="00FD211A" w:rsidP="00FD211A">
          <w:pPr>
            <w:pStyle w:val="Title"/>
            <w:jc w:val="right"/>
            <w:rPr>
              <w:lang w:eastAsia="en-AU"/>
            </w:rPr>
          </w:pPr>
          <w:r>
            <w:rPr>
              <w:noProof/>
              <w:lang w:eastAsia="en-AU"/>
            </w:rPr>
            <w:drawing>
              <wp:anchor distT="0" distB="0" distL="114300" distR="114300" simplePos="0" relativeHeight="251659264" behindDoc="0" locked="0" layoutInCell="1" allowOverlap="1">
                <wp:simplePos x="0" y="0"/>
                <wp:positionH relativeFrom="column">
                  <wp:posOffset>192867</wp:posOffset>
                </wp:positionH>
                <wp:positionV relativeFrom="paragraph">
                  <wp:posOffset>65983</wp:posOffset>
                </wp:positionV>
                <wp:extent cx="908050" cy="9525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FD211A" w:rsidRDefault="00FD2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46635"/>
    <w:multiLevelType w:val="hybridMultilevel"/>
    <w:tmpl w:val="B3D0D738"/>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 w15:restartNumberingAfterBreak="0">
    <w:nsid w:val="0B5142CA"/>
    <w:multiLevelType w:val="hybridMultilevel"/>
    <w:tmpl w:val="A21A462E"/>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 w15:restartNumberingAfterBreak="0">
    <w:nsid w:val="123E7DAF"/>
    <w:multiLevelType w:val="hybridMultilevel"/>
    <w:tmpl w:val="0EB46BE8"/>
    <w:lvl w:ilvl="0" w:tplc="479812EC">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 w15:restartNumberingAfterBreak="0">
    <w:nsid w:val="1E2E7933"/>
    <w:multiLevelType w:val="hybridMultilevel"/>
    <w:tmpl w:val="E70C5544"/>
    <w:lvl w:ilvl="0" w:tplc="479812EC">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 w15:restartNumberingAfterBreak="0">
    <w:nsid w:val="2AA534FF"/>
    <w:multiLevelType w:val="hybridMultilevel"/>
    <w:tmpl w:val="6E4022CA"/>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 w15:restartNumberingAfterBreak="0">
    <w:nsid w:val="2B895D07"/>
    <w:multiLevelType w:val="hybridMultilevel"/>
    <w:tmpl w:val="2DA2F94C"/>
    <w:lvl w:ilvl="0" w:tplc="9112DA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933B6A"/>
    <w:multiLevelType w:val="hybridMultilevel"/>
    <w:tmpl w:val="9B78D074"/>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7" w15:restartNumberingAfterBreak="0">
    <w:nsid w:val="2EE1367F"/>
    <w:multiLevelType w:val="hybridMultilevel"/>
    <w:tmpl w:val="D4B60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350BED"/>
    <w:multiLevelType w:val="hybridMultilevel"/>
    <w:tmpl w:val="8FD20F86"/>
    <w:lvl w:ilvl="0" w:tplc="479812EC">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3B572F4F"/>
    <w:multiLevelType w:val="hybridMultilevel"/>
    <w:tmpl w:val="9E4EC7C4"/>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0" w15:restartNumberingAfterBreak="0">
    <w:nsid w:val="3F1A0483"/>
    <w:multiLevelType w:val="hybridMultilevel"/>
    <w:tmpl w:val="0D4C71E0"/>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1" w15:restartNumberingAfterBreak="0">
    <w:nsid w:val="468407A1"/>
    <w:multiLevelType w:val="hybridMultilevel"/>
    <w:tmpl w:val="A510E394"/>
    <w:lvl w:ilvl="0" w:tplc="9112DAD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980780A"/>
    <w:multiLevelType w:val="hybridMultilevel"/>
    <w:tmpl w:val="5220F79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25317D"/>
    <w:multiLevelType w:val="hybridMultilevel"/>
    <w:tmpl w:val="7E40D084"/>
    <w:lvl w:ilvl="0" w:tplc="479812EC">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4" w15:restartNumberingAfterBreak="0">
    <w:nsid w:val="534B3039"/>
    <w:multiLevelType w:val="hybridMultilevel"/>
    <w:tmpl w:val="4732B67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4E348D"/>
    <w:multiLevelType w:val="hybridMultilevel"/>
    <w:tmpl w:val="AC0E2F5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A36836"/>
    <w:multiLevelType w:val="hybridMultilevel"/>
    <w:tmpl w:val="BF1E54C6"/>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7" w15:restartNumberingAfterBreak="0">
    <w:nsid w:val="640C6792"/>
    <w:multiLevelType w:val="hybridMultilevel"/>
    <w:tmpl w:val="3CC0DAE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8" w15:restartNumberingAfterBreak="0">
    <w:nsid w:val="6C6E0F06"/>
    <w:multiLevelType w:val="hybridMultilevel"/>
    <w:tmpl w:val="1E3A06E8"/>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9" w15:restartNumberingAfterBreak="0">
    <w:nsid w:val="6E946F44"/>
    <w:multiLevelType w:val="hybridMultilevel"/>
    <w:tmpl w:val="CA4C392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1D605C"/>
    <w:multiLevelType w:val="hybridMultilevel"/>
    <w:tmpl w:val="F40C2800"/>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num w:numId="1">
    <w:abstractNumId w:val="9"/>
  </w:num>
  <w:num w:numId="2">
    <w:abstractNumId w:val="13"/>
  </w:num>
  <w:num w:numId="3">
    <w:abstractNumId w:val="18"/>
  </w:num>
  <w:num w:numId="4">
    <w:abstractNumId w:val="2"/>
  </w:num>
  <w:num w:numId="5">
    <w:abstractNumId w:val="4"/>
  </w:num>
  <w:num w:numId="6">
    <w:abstractNumId w:val="3"/>
  </w:num>
  <w:num w:numId="7">
    <w:abstractNumId w:val="0"/>
  </w:num>
  <w:num w:numId="8">
    <w:abstractNumId w:val="6"/>
  </w:num>
  <w:num w:numId="9">
    <w:abstractNumId w:val="10"/>
  </w:num>
  <w:num w:numId="10">
    <w:abstractNumId w:val="1"/>
  </w:num>
  <w:num w:numId="11">
    <w:abstractNumId w:val="16"/>
  </w:num>
  <w:num w:numId="12">
    <w:abstractNumId w:val="20"/>
  </w:num>
  <w:num w:numId="13">
    <w:abstractNumId w:val="17"/>
  </w:num>
  <w:num w:numId="14">
    <w:abstractNumId w:val="7"/>
  </w:num>
  <w:num w:numId="15">
    <w:abstractNumId w:val="14"/>
  </w:num>
  <w:num w:numId="16">
    <w:abstractNumId w:val="15"/>
  </w:num>
  <w:num w:numId="17">
    <w:abstractNumId w:val="19"/>
  </w:num>
  <w:num w:numId="18">
    <w:abstractNumId w:val="5"/>
  </w:num>
  <w:num w:numId="19">
    <w:abstractNumId w:val="12"/>
  </w:num>
  <w:num w:numId="20">
    <w:abstractNumId w:val="11"/>
  </w:num>
  <w:num w:numId="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40467"/>
    <w:rsid w:val="00045DE2"/>
    <w:rsid w:val="00063AC6"/>
    <w:rsid w:val="00072479"/>
    <w:rsid w:val="00091DD9"/>
    <w:rsid w:val="00126209"/>
    <w:rsid w:val="00135515"/>
    <w:rsid w:val="0016085E"/>
    <w:rsid w:val="00191BA7"/>
    <w:rsid w:val="001E4065"/>
    <w:rsid w:val="002078ED"/>
    <w:rsid w:val="00246A8E"/>
    <w:rsid w:val="002C7F9C"/>
    <w:rsid w:val="00365E49"/>
    <w:rsid w:val="00371B3E"/>
    <w:rsid w:val="003954A6"/>
    <w:rsid w:val="003C166F"/>
    <w:rsid w:val="00486E4F"/>
    <w:rsid w:val="004B58C2"/>
    <w:rsid w:val="004F7F55"/>
    <w:rsid w:val="005241A5"/>
    <w:rsid w:val="005535A3"/>
    <w:rsid w:val="005E5E87"/>
    <w:rsid w:val="0062238A"/>
    <w:rsid w:val="006342C1"/>
    <w:rsid w:val="00696117"/>
    <w:rsid w:val="007A34BC"/>
    <w:rsid w:val="007A72E1"/>
    <w:rsid w:val="00824741"/>
    <w:rsid w:val="00844B45"/>
    <w:rsid w:val="008770D9"/>
    <w:rsid w:val="0088428C"/>
    <w:rsid w:val="008D4FF2"/>
    <w:rsid w:val="00912DA4"/>
    <w:rsid w:val="00964510"/>
    <w:rsid w:val="009A2FD7"/>
    <w:rsid w:val="009E1423"/>
    <w:rsid w:val="00A8490A"/>
    <w:rsid w:val="00B42DE6"/>
    <w:rsid w:val="00B871E3"/>
    <w:rsid w:val="00BA20B9"/>
    <w:rsid w:val="00BE2EA6"/>
    <w:rsid w:val="00BF363D"/>
    <w:rsid w:val="00C54BB2"/>
    <w:rsid w:val="00CC0ED6"/>
    <w:rsid w:val="00CF7E47"/>
    <w:rsid w:val="00D43991"/>
    <w:rsid w:val="00D578AD"/>
    <w:rsid w:val="00E512C0"/>
    <w:rsid w:val="00E97516"/>
    <w:rsid w:val="00F0241C"/>
    <w:rsid w:val="00F46D52"/>
    <w:rsid w:val="00FD211A"/>
    <w:rsid w:val="00FF55E0"/>
    <w:rsid w:val="00FF5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8569D"/>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BF363D"/>
    <w:rPr>
      <w:b w:val="0"/>
      <w:bCs w:val="0"/>
      <w:i/>
      <w:iCs/>
    </w:rPr>
  </w:style>
  <w:style w:type="paragraph" w:styleId="Footer">
    <w:name w:val="footer"/>
    <w:basedOn w:val="Normal"/>
    <w:link w:val="FooterChar"/>
    <w:uiPriority w:val="99"/>
    <w:unhideWhenUsed/>
    <w:rsid w:val="00FD2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11A"/>
  </w:style>
  <w:style w:type="paragraph" w:styleId="Title">
    <w:name w:val="Title"/>
    <w:basedOn w:val="Normal"/>
    <w:link w:val="TitleChar"/>
    <w:qFormat/>
    <w:rsid w:val="00FD211A"/>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FD211A"/>
    <w:rPr>
      <w:rFonts w:asciiTheme="majorHAnsi" w:eastAsia="Times New Roman" w:hAnsiTheme="majorHAnsi" w:cs="Times New Roman"/>
      <w:b/>
      <w:caps/>
      <w:sz w:val="28"/>
      <w:szCs w:val="24"/>
    </w:rPr>
  </w:style>
  <w:style w:type="table" w:styleId="TableGrid">
    <w:name w:val="Table Grid"/>
    <w:basedOn w:val="TableNormal"/>
    <w:rsid w:val="00FD211A"/>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5241A5"/>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school/principals/spag/management/pages/securit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management/pages/security.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ducation.vic.gov.au/school/principals/spag/management/pages/security.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5B2DEB-14FE-4609-9FAA-15C23B3BD7E3}">
  <ds:schemaRefs>
    <ds:schemaRef ds:uri="http://schemas.microsoft.com/sharepoint/v3/contenttype/forms"/>
  </ds:schemaRefs>
</ds:datastoreItem>
</file>

<file path=customXml/itemProps2.xml><?xml version="1.0" encoding="utf-8"?>
<ds:datastoreItem xmlns:ds="http://schemas.openxmlformats.org/officeDocument/2006/customXml" ds:itemID="{D2488D9E-A335-42D4-A060-170C50F76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0100E-1718-4823-8A16-5718A470AB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9</cp:revision>
  <dcterms:created xsi:type="dcterms:W3CDTF">2017-09-14T03:43:00Z</dcterms:created>
  <dcterms:modified xsi:type="dcterms:W3CDTF">2018-01-01T21:37:00Z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