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C00" w:rsidRPr="00F5381D" w:rsidRDefault="002E09B2" w:rsidP="00F5381D">
      <w:pPr>
        <w:ind w:left="-142" w:firstLine="142"/>
        <w:jc w:val="center"/>
        <w:rPr>
          <w:rFonts w:asciiTheme="majorHAnsi" w:hAnsiTheme="majorHAnsi"/>
          <w:b/>
          <w:i/>
          <w:sz w:val="24"/>
          <w:szCs w:val="24"/>
        </w:rPr>
      </w:pPr>
      <w:r w:rsidRPr="00F5381D">
        <w:rPr>
          <w:rFonts w:asciiTheme="majorHAnsi" w:hAnsiTheme="majorHAnsi"/>
          <w:i/>
          <w:sz w:val="24"/>
          <w:szCs w:val="24"/>
        </w:rPr>
        <w:t xml:space="preserve">Charles La Trobe P-12 College takes a zero-tolerance approach to child abuse and is fully committed to ensuring that its strategies, policies, procedures and practices meet all </w:t>
      </w:r>
      <w:r w:rsidRPr="00F5381D">
        <w:rPr>
          <w:rFonts w:asciiTheme="majorHAnsi" w:hAnsiTheme="majorHAnsi"/>
          <w:b/>
          <w:i/>
          <w:sz w:val="24"/>
          <w:szCs w:val="24"/>
        </w:rPr>
        <w:t>Child Safety Standards as specified in Ministerial Order No. 870 (2015).</w:t>
      </w:r>
    </w:p>
    <w:p w:rsidR="009A05D9" w:rsidRPr="00F5381D" w:rsidRDefault="009A05D9" w:rsidP="00F5381D">
      <w:pPr>
        <w:rPr>
          <w:rStyle w:val="SubtleReference"/>
          <w:b/>
          <w:i/>
          <w:smallCaps w:val="0"/>
          <w:szCs w:val="24"/>
          <w:u w:val="none"/>
        </w:rPr>
      </w:pPr>
      <w:r w:rsidRPr="00F5381D">
        <w:rPr>
          <w:rStyle w:val="SubtleReference"/>
        </w:rPr>
        <w:t>Rationale</w:t>
      </w:r>
    </w:p>
    <w:p w:rsidR="009A05D9" w:rsidRPr="00F5381D" w:rsidRDefault="009A05D9" w:rsidP="00572F9D">
      <w:pPr>
        <w:pStyle w:val="NoSpacing"/>
        <w:numPr>
          <w:ilvl w:val="0"/>
          <w:numId w:val="1"/>
        </w:numPr>
        <w:jc w:val="both"/>
        <w:rPr>
          <w:rFonts w:asciiTheme="majorHAnsi" w:hAnsiTheme="majorHAnsi"/>
          <w:sz w:val="24"/>
          <w:szCs w:val="24"/>
          <w:lang w:eastAsia="en-AU"/>
        </w:rPr>
      </w:pPr>
      <w:r w:rsidRPr="00F5381D">
        <w:rPr>
          <w:rFonts w:asciiTheme="majorHAnsi" w:hAnsiTheme="majorHAnsi"/>
          <w:sz w:val="24"/>
          <w:szCs w:val="24"/>
          <w:lang w:eastAsia="en-AU"/>
        </w:rPr>
        <w:t>Students can sometimes behave in a way that is violent or dangerous. Examples of violent or dangerous behaviours of concern include but are not limited to:</w:t>
      </w:r>
    </w:p>
    <w:p w:rsidR="009A05D9" w:rsidRPr="00F5381D" w:rsidRDefault="009A05D9" w:rsidP="00572F9D">
      <w:pPr>
        <w:pStyle w:val="NoSpacing"/>
        <w:numPr>
          <w:ilvl w:val="0"/>
          <w:numId w:val="5"/>
        </w:numPr>
        <w:ind w:firstLine="273"/>
        <w:jc w:val="both"/>
        <w:rPr>
          <w:rFonts w:asciiTheme="majorHAnsi" w:hAnsiTheme="majorHAnsi"/>
          <w:sz w:val="24"/>
          <w:szCs w:val="24"/>
          <w:lang w:eastAsia="en-AU"/>
        </w:rPr>
      </w:pPr>
      <w:r w:rsidRPr="00F5381D">
        <w:rPr>
          <w:rFonts w:asciiTheme="majorHAnsi" w:hAnsiTheme="majorHAnsi"/>
          <w:sz w:val="24"/>
          <w:szCs w:val="24"/>
          <w:lang w:eastAsia="en-AU"/>
        </w:rPr>
        <w:t>self-injuring behaviour, such as hitting/kicking walls, head-banging</w:t>
      </w:r>
    </w:p>
    <w:p w:rsidR="009A05D9" w:rsidRPr="00F5381D" w:rsidRDefault="009A05D9" w:rsidP="00572F9D">
      <w:pPr>
        <w:pStyle w:val="NoSpacing"/>
        <w:numPr>
          <w:ilvl w:val="0"/>
          <w:numId w:val="5"/>
        </w:numPr>
        <w:ind w:firstLine="273"/>
        <w:jc w:val="both"/>
        <w:rPr>
          <w:rFonts w:asciiTheme="majorHAnsi" w:hAnsiTheme="majorHAnsi"/>
          <w:sz w:val="24"/>
          <w:szCs w:val="24"/>
          <w:lang w:eastAsia="en-AU"/>
        </w:rPr>
      </w:pPr>
      <w:r w:rsidRPr="00F5381D">
        <w:rPr>
          <w:rFonts w:asciiTheme="majorHAnsi" w:hAnsiTheme="majorHAnsi"/>
          <w:sz w:val="24"/>
          <w:szCs w:val="24"/>
          <w:lang w:eastAsia="en-AU"/>
        </w:rPr>
        <w:t>attacking other students or staff, including hitting, biting, kicking, hair pulling</w:t>
      </w:r>
    </w:p>
    <w:p w:rsidR="009A05D9" w:rsidRPr="00F5381D" w:rsidRDefault="009A05D9" w:rsidP="00572F9D">
      <w:pPr>
        <w:pStyle w:val="NoSpacing"/>
        <w:numPr>
          <w:ilvl w:val="0"/>
          <w:numId w:val="5"/>
        </w:numPr>
        <w:ind w:firstLine="273"/>
        <w:jc w:val="both"/>
        <w:rPr>
          <w:rFonts w:asciiTheme="majorHAnsi" w:hAnsiTheme="majorHAnsi"/>
          <w:sz w:val="24"/>
          <w:szCs w:val="24"/>
          <w:lang w:eastAsia="en-AU"/>
        </w:rPr>
      </w:pPr>
      <w:r w:rsidRPr="00F5381D">
        <w:rPr>
          <w:rFonts w:asciiTheme="majorHAnsi" w:hAnsiTheme="majorHAnsi"/>
          <w:sz w:val="24"/>
          <w:szCs w:val="24"/>
          <w:lang w:eastAsia="en-AU"/>
        </w:rPr>
        <w:t>throwing furniture or other objects at students and staff</w:t>
      </w:r>
    </w:p>
    <w:p w:rsidR="009A05D9" w:rsidRPr="00F5381D" w:rsidRDefault="009A05D9" w:rsidP="00572F9D">
      <w:pPr>
        <w:pStyle w:val="NoSpacing"/>
        <w:numPr>
          <w:ilvl w:val="0"/>
          <w:numId w:val="5"/>
        </w:numPr>
        <w:ind w:firstLine="273"/>
        <w:jc w:val="both"/>
        <w:rPr>
          <w:rFonts w:asciiTheme="majorHAnsi" w:hAnsiTheme="majorHAnsi"/>
          <w:sz w:val="24"/>
          <w:szCs w:val="24"/>
          <w:lang w:eastAsia="en-AU"/>
        </w:rPr>
      </w:pPr>
      <w:r w:rsidRPr="00F5381D">
        <w:rPr>
          <w:rFonts w:asciiTheme="majorHAnsi" w:hAnsiTheme="majorHAnsi"/>
          <w:sz w:val="24"/>
          <w:szCs w:val="24"/>
          <w:lang w:eastAsia="en-AU"/>
        </w:rPr>
        <w:t>a verbal threat of harm which you believe a student will immediately enact</w:t>
      </w:r>
    </w:p>
    <w:p w:rsidR="009A05D9" w:rsidRPr="00F5381D" w:rsidRDefault="009A05D9" w:rsidP="00572F9D">
      <w:pPr>
        <w:pStyle w:val="NoSpacing"/>
        <w:numPr>
          <w:ilvl w:val="0"/>
          <w:numId w:val="5"/>
        </w:numPr>
        <w:ind w:firstLine="273"/>
        <w:jc w:val="both"/>
        <w:rPr>
          <w:rFonts w:asciiTheme="majorHAnsi" w:hAnsiTheme="majorHAnsi"/>
          <w:sz w:val="24"/>
          <w:szCs w:val="24"/>
          <w:lang w:eastAsia="en-AU"/>
        </w:rPr>
      </w:pPr>
      <w:r w:rsidRPr="00F5381D">
        <w:rPr>
          <w:rFonts w:asciiTheme="majorHAnsi" w:hAnsiTheme="majorHAnsi"/>
          <w:sz w:val="24"/>
          <w:szCs w:val="24"/>
          <w:lang w:eastAsia="en-AU"/>
        </w:rPr>
        <w:t>running onto a road or near some other hazard</w:t>
      </w:r>
    </w:p>
    <w:p w:rsidR="009A05D9" w:rsidRPr="00F5381D" w:rsidRDefault="009A05D9" w:rsidP="00572F9D">
      <w:pPr>
        <w:pStyle w:val="NoSpacing"/>
        <w:numPr>
          <w:ilvl w:val="0"/>
          <w:numId w:val="1"/>
        </w:numPr>
        <w:jc w:val="both"/>
        <w:rPr>
          <w:rFonts w:asciiTheme="majorHAnsi" w:hAnsiTheme="majorHAnsi"/>
          <w:sz w:val="24"/>
          <w:szCs w:val="24"/>
          <w:lang w:eastAsia="en-AU"/>
        </w:rPr>
      </w:pPr>
      <w:r w:rsidRPr="00F5381D">
        <w:rPr>
          <w:rFonts w:asciiTheme="majorHAnsi" w:hAnsiTheme="majorHAnsi"/>
          <w:sz w:val="24"/>
          <w:szCs w:val="24"/>
          <w:lang w:eastAsia="en-AU"/>
        </w:rPr>
        <w:t xml:space="preserve">Incidents of violent or dangerous behaviour may occur following a period of escalating behaviour or may occur without any notice. In some </w:t>
      </w:r>
      <w:proofErr w:type="gramStart"/>
      <w:r w:rsidRPr="00F5381D">
        <w:rPr>
          <w:rFonts w:asciiTheme="majorHAnsi" w:hAnsiTheme="majorHAnsi"/>
          <w:sz w:val="24"/>
          <w:szCs w:val="24"/>
          <w:lang w:eastAsia="en-AU"/>
        </w:rPr>
        <w:t>cases</w:t>
      </w:r>
      <w:proofErr w:type="gramEnd"/>
      <w:r w:rsidRPr="00F5381D">
        <w:rPr>
          <w:rFonts w:asciiTheme="majorHAnsi" w:hAnsiTheme="majorHAnsi"/>
          <w:sz w:val="24"/>
          <w:szCs w:val="24"/>
          <w:lang w:eastAsia="en-AU"/>
        </w:rPr>
        <w:t xml:space="preserve"> such behaviour may be associated with a student’s disability.</w:t>
      </w:r>
    </w:p>
    <w:p w:rsidR="009A05D9" w:rsidRPr="00F5381D" w:rsidRDefault="009A05D9" w:rsidP="00572F9D">
      <w:pPr>
        <w:pStyle w:val="NoSpacing"/>
        <w:numPr>
          <w:ilvl w:val="0"/>
          <w:numId w:val="1"/>
        </w:numPr>
        <w:jc w:val="both"/>
        <w:rPr>
          <w:rFonts w:asciiTheme="majorHAnsi" w:hAnsiTheme="majorHAnsi"/>
          <w:sz w:val="24"/>
          <w:szCs w:val="24"/>
          <w:lang w:eastAsia="en-AU"/>
        </w:rPr>
      </w:pPr>
      <w:r w:rsidRPr="00F5381D">
        <w:rPr>
          <w:rFonts w:asciiTheme="majorHAnsi" w:hAnsiTheme="majorHAnsi"/>
          <w:sz w:val="24"/>
          <w:szCs w:val="24"/>
          <w:lang w:eastAsia="en-AU"/>
        </w:rPr>
        <w:t>Interventions to prevent, de-escalate and respond to violent and dangerous student behaviours of concern can be broken into four categories:</w:t>
      </w:r>
    </w:p>
    <w:p w:rsidR="009A05D9" w:rsidRPr="00F5381D" w:rsidRDefault="009A05D9" w:rsidP="00572F9D">
      <w:pPr>
        <w:pStyle w:val="NoSpacing"/>
        <w:numPr>
          <w:ilvl w:val="0"/>
          <w:numId w:val="6"/>
        </w:numPr>
        <w:ind w:firstLine="131"/>
        <w:jc w:val="both"/>
        <w:rPr>
          <w:rFonts w:asciiTheme="majorHAnsi" w:hAnsiTheme="majorHAnsi"/>
          <w:sz w:val="24"/>
          <w:szCs w:val="24"/>
          <w:lang w:eastAsia="en-AU"/>
        </w:rPr>
      </w:pPr>
      <w:r w:rsidRPr="00F5381D">
        <w:rPr>
          <w:rFonts w:asciiTheme="majorHAnsi" w:hAnsiTheme="majorHAnsi"/>
          <w:sz w:val="24"/>
          <w:szCs w:val="24"/>
          <w:lang w:eastAsia="en-AU"/>
        </w:rPr>
        <w:t>prevention and early intervention</w:t>
      </w:r>
    </w:p>
    <w:p w:rsidR="009A05D9" w:rsidRPr="00F5381D" w:rsidRDefault="009A05D9" w:rsidP="00572F9D">
      <w:pPr>
        <w:pStyle w:val="NoSpacing"/>
        <w:numPr>
          <w:ilvl w:val="0"/>
          <w:numId w:val="6"/>
        </w:numPr>
        <w:ind w:firstLine="131"/>
        <w:jc w:val="both"/>
        <w:rPr>
          <w:rFonts w:asciiTheme="majorHAnsi" w:hAnsiTheme="majorHAnsi"/>
          <w:sz w:val="24"/>
          <w:szCs w:val="24"/>
          <w:lang w:eastAsia="en-AU"/>
        </w:rPr>
      </w:pPr>
      <w:r w:rsidRPr="00F5381D">
        <w:rPr>
          <w:rFonts w:asciiTheme="majorHAnsi" w:hAnsiTheme="majorHAnsi"/>
          <w:sz w:val="24"/>
          <w:szCs w:val="24"/>
          <w:lang w:eastAsia="en-AU"/>
        </w:rPr>
        <w:t>de-escalation</w:t>
      </w:r>
    </w:p>
    <w:p w:rsidR="009A05D9" w:rsidRPr="00F5381D" w:rsidRDefault="009A05D9" w:rsidP="00572F9D">
      <w:pPr>
        <w:pStyle w:val="NoSpacing"/>
        <w:numPr>
          <w:ilvl w:val="0"/>
          <w:numId w:val="6"/>
        </w:numPr>
        <w:ind w:firstLine="131"/>
        <w:jc w:val="both"/>
        <w:rPr>
          <w:rFonts w:asciiTheme="majorHAnsi" w:hAnsiTheme="majorHAnsi"/>
          <w:sz w:val="24"/>
          <w:szCs w:val="24"/>
          <w:lang w:eastAsia="en-AU"/>
        </w:rPr>
      </w:pPr>
      <w:r w:rsidRPr="00F5381D">
        <w:rPr>
          <w:rFonts w:asciiTheme="majorHAnsi" w:hAnsiTheme="majorHAnsi"/>
          <w:sz w:val="24"/>
          <w:szCs w:val="24"/>
          <w:lang w:eastAsia="en-AU"/>
        </w:rPr>
        <w:t>incident intervention</w:t>
      </w:r>
    </w:p>
    <w:p w:rsidR="009A05D9" w:rsidRPr="00F5381D" w:rsidRDefault="009A05D9" w:rsidP="00572F9D">
      <w:pPr>
        <w:pStyle w:val="NoSpacing"/>
        <w:numPr>
          <w:ilvl w:val="0"/>
          <w:numId w:val="6"/>
        </w:numPr>
        <w:ind w:firstLine="131"/>
        <w:jc w:val="both"/>
        <w:rPr>
          <w:rFonts w:asciiTheme="majorHAnsi" w:hAnsiTheme="majorHAnsi"/>
          <w:sz w:val="24"/>
          <w:szCs w:val="24"/>
          <w:lang w:eastAsia="en-AU"/>
        </w:rPr>
      </w:pPr>
      <w:r w:rsidRPr="00F5381D">
        <w:rPr>
          <w:rFonts w:asciiTheme="majorHAnsi" w:hAnsiTheme="majorHAnsi"/>
          <w:sz w:val="24"/>
          <w:szCs w:val="24"/>
          <w:lang w:eastAsia="en-AU"/>
        </w:rPr>
        <w:t>response and recovery</w:t>
      </w:r>
    </w:p>
    <w:p w:rsidR="009A05D9" w:rsidRPr="00F5381D" w:rsidRDefault="009A05D9" w:rsidP="00572F9D">
      <w:pPr>
        <w:pStyle w:val="NoSpacing"/>
        <w:numPr>
          <w:ilvl w:val="0"/>
          <w:numId w:val="1"/>
        </w:numPr>
        <w:rPr>
          <w:rFonts w:asciiTheme="majorHAnsi" w:hAnsiTheme="majorHAnsi"/>
          <w:sz w:val="24"/>
          <w:szCs w:val="24"/>
          <w:lang w:eastAsia="en-AU"/>
        </w:rPr>
      </w:pPr>
      <w:r w:rsidRPr="00F5381D">
        <w:rPr>
          <w:rFonts w:asciiTheme="majorHAnsi" w:hAnsiTheme="majorHAnsi"/>
          <w:sz w:val="24"/>
          <w:szCs w:val="24"/>
          <w:lang w:eastAsia="en-AU"/>
        </w:rPr>
        <w:t xml:space="preserve">Supporting students with challenging behaviours is an important part of ensuring all students </w:t>
      </w:r>
      <w:proofErr w:type="gramStart"/>
      <w:r w:rsidRPr="00F5381D">
        <w:rPr>
          <w:rFonts w:asciiTheme="majorHAnsi" w:hAnsiTheme="majorHAnsi"/>
          <w:sz w:val="24"/>
          <w:szCs w:val="24"/>
          <w:lang w:eastAsia="en-AU"/>
        </w:rPr>
        <w:t>have the opportunity to</w:t>
      </w:r>
      <w:proofErr w:type="gramEnd"/>
      <w:r w:rsidRPr="00F5381D">
        <w:rPr>
          <w:rFonts w:asciiTheme="majorHAnsi" w:hAnsiTheme="majorHAnsi"/>
          <w:sz w:val="24"/>
          <w:szCs w:val="24"/>
          <w:lang w:eastAsia="en-AU"/>
        </w:rPr>
        <w:t xml:space="preserve"> reach their potential regardless of their personal challenges, circumstances or ability.</w:t>
      </w:r>
      <w:r w:rsidRPr="00F5381D">
        <w:rPr>
          <w:rFonts w:asciiTheme="majorHAnsi" w:hAnsiTheme="majorHAnsi"/>
          <w:sz w:val="24"/>
          <w:szCs w:val="24"/>
          <w:lang w:eastAsia="en-AU"/>
        </w:rPr>
        <w:br/>
      </w:r>
    </w:p>
    <w:p w:rsidR="009A05D9" w:rsidRPr="00F5381D" w:rsidRDefault="009A05D9" w:rsidP="00572F9D">
      <w:pPr>
        <w:pStyle w:val="NoSpacing"/>
        <w:numPr>
          <w:ilvl w:val="0"/>
          <w:numId w:val="1"/>
        </w:numPr>
        <w:jc w:val="both"/>
        <w:rPr>
          <w:rFonts w:asciiTheme="majorHAnsi" w:hAnsiTheme="majorHAnsi"/>
          <w:sz w:val="24"/>
          <w:szCs w:val="24"/>
          <w:lang w:eastAsia="en-AU"/>
        </w:rPr>
      </w:pPr>
      <w:r w:rsidRPr="00F5381D">
        <w:rPr>
          <w:rFonts w:asciiTheme="majorHAnsi" w:hAnsiTheme="majorHAnsi"/>
          <w:sz w:val="24"/>
          <w:szCs w:val="24"/>
          <w:lang w:eastAsia="en-AU"/>
        </w:rPr>
        <w:t xml:space="preserve">The DET has developed policy and guidance regarding responding to violent and dangerous behaviours of concern and reducing the incidence of restraint and seclusion.  The guidance was released in November 2015, when all Principals and school staff were asked to familiarise themselves with the guidance, policy and resources, and ensure that school policy and practices were aligned with the policy and guidance at that time. </w:t>
      </w:r>
    </w:p>
    <w:p w:rsidR="009A05D9" w:rsidRPr="00F5381D" w:rsidRDefault="009A05D9" w:rsidP="00572F9D">
      <w:pPr>
        <w:pStyle w:val="NoSpacing"/>
        <w:numPr>
          <w:ilvl w:val="0"/>
          <w:numId w:val="1"/>
        </w:numPr>
        <w:jc w:val="both"/>
        <w:rPr>
          <w:rFonts w:asciiTheme="majorHAnsi" w:hAnsiTheme="majorHAnsi"/>
          <w:sz w:val="24"/>
          <w:szCs w:val="24"/>
          <w:lang w:eastAsia="en-AU"/>
        </w:rPr>
      </w:pPr>
      <w:r w:rsidRPr="00F5381D">
        <w:rPr>
          <w:rFonts w:asciiTheme="majorHAnsi" w:hAnsiTheme="majorHAnsi"/>
          <w:sz w:val="24"/>
          <w:szCs w:val="24"/>
          <w:lang w:eastAsia="en-AU"/>
        </w:rPr>
        <w:t>The guidance provides a suite of resources, including a presentation for Principals to deliver to staff and information for parents. The guidance emphasises the importance of early intervention and was developed with the University of Melbourne and in close consultation with key stakeholders.  Please see the links below.</w:t>
      </w:r>
    </w:p>
    <w:p w:rsidR="002E09B2" w:rsidRPr="00F5381D" w:rsidRDefault="002E09B2" w:rsidP="00F5381D">
      <w:pPr>
        <w:pStyle w:val="NoSpacing"/>
        <w:ind w:left="720" w:hanging="436"/>
        <w:jc w:val="both"/>
        <w:rPr>
          <w:rFonts w:asciiTheme="majorHAnsi" w:hAnsiTheme="majorHAnsi"/>
          <w:sz w:val="24"/>
          <w:szCs w:val="24"/>
          <w:u w:val="single"/>
          <w:lang w:eastAsia="en-AU"/>
        </w:rPr>
      </w:pPr>
    </w:p>
    <w:p w:rsidR="009A05D9" w:rsidRPr="00F5381D" w:rsidRDefault="009A05D9" w:rsidP="00F5381D">
      <w:pPr>
        <w:pStyle w:val="NoSpacing"/>
        <w:ind w:left="720" w:hanging="436"/>
        <w:jc w:val="both"/>
        <w:rPr>
          <w:rStyle w:val="SubtleReference"/>
        </w:rPr>
      </w:pPr>
      <w:r w:rsidRPr="00F5381D">
        <w:rPr>
          <w:rStyle w:val="SubtleReference"/>
        </w:rPr>
        <w:t>Restraint of a Student</w:t>
      </w:r>
    </w:p>
    <w:p w:rsidR="009A05D9" w:rsidRPr="00F5381D" w:rsidRDefault="009A05D9" w:rsidP="00572F9D">
      <w:pPr>
        <w:pStyle w:val="NoSpacing"/>
        <w:numPr>
          <w:ilvl w:val="0"/>
          <w:numId w:val="7"/>
        </w:numPr>
        <w:jc w:val="both"/>
        <w:rPr>
          <w:rFonts w:asciiTheme="majorHAnsi" w:hAnsiTheme="majorHAnsi"/>
          <w:sz w:val="24"/>
          <w:szCs w:val="24"/>
          <w:lang w:eastAsia="en-AU"/>
        </w:rPr>
      </w:pPr>
      <w:r w:rsidRPr="00F5381D">
        <w:rPr>
          <w:rFonts w:asciiTheme="majorHAnsi" w:hAnsiTheme="majorHAnsi"/>
          <w:sz w:val="24"/>
          <w:szCs w:val="24"/>
          <w:lang w:eastAsia="en-AU"/>
        </w:rPr>
        <w:t>Regulation 15 of the Education and Training Reform Regulations 2007 states:</w:t>
      </w:r>
    </w:p>
    <w:p w:rsidR="009A05D9" w:rsidRPr="00F5381D" w:rsidRDefault="009A05D9" w:rsidP="00F5381D">
      <w:pPr>
        <w:pStyle w:val="NoSpacing"/>
        <w:ind w:left="709"/>
        <w:jc w:val="both"/>
        <w:rPr>
          <w:rFonts w:asciiTheme="majorHAnsi" w:hAnsiTheme="majorHAnsi"/>
          <w:sz w:val="24"/>
          <w:szCs w:val="24"/>
          <w:lang w:eastAsia="en-AU"/>
        </w:rPr>
      </w:pPr>
      <w:r w:rsidRPr="00F5381D">
        <w:rPr>
          <w:rFonts w:asciiTheme="majorHAnsi" w:hAnsiTheme="majorHAnsi"/>
          <w:sz w:val="24"/>
          <w:szCs w:val="24"/>
          <w:lang w:eastAsia="en-AU"/>
        </w:rPr>
        <w:t>“A member of staff of a Government school may take any reasonable action that is immediately required to restrain a student of the school from acts or behaviour dangerous to the member of staff, the student, or any other person.” </w:t>
      </w:r>
    </w:p>
    <w:p w:rsidR="009A05D9" w:rsidRPr="00F5381D" w:rsidRDefault="009A05D9" w:rsidP="00572F9D">
      <w:pPr>
        <w:pStyle w:val="NoSpacing"/>
        <w:numPr>
          <w:ilvl w:val="0"/>
          <w:numId w:val="7"/>
        </w:numPr>
        <w:jc w:val="both"/>
        <w:rPr>
          <w:rFonts w:asciiTheme="majorHAnsi" w:hAnsiTheme="majorHAnsi"/>
          <w:sz w:val="24"/>
          <w:szCs w:val="24"/>
          <w:lang w:eastAsia="en-AU"/>
        </w:rPr>
      </w:pPr>
      <w:r w:rsidRPr="00F5381D">
        <w:rPr>
          <w:rFonts w:asciiTheme="majorHAnsi" w:hAnsiTheme="majorHAnsi"/>
          <w:sz w:val="24"/>
          <w:szCs w:val="24"/>
          <w:lang w:eastAsia="en-AU"/>
        </w:rPr>
        <w:lastRenderedPageBreak/>
        <w:t>Physical restraint has been associated with injury and increased trauma to the student and the staff member responsible for the physical restraint.  School staff may only use physical restraint on a student when it is immediately required to protect the safety of the student or any other person noting that:</w:t>
      </w:r>
    </w:p>
    <w:p w:rsidR="009A05D9" w:rsidRPr="00F5381D" w:rsidRDefault="009A05D9" w:rsidP="00572F9D">
      <w:pPr>
        <w:pStyle w:val="NoSpacing"/>
        <w:numPr>
          <w:ilvl w:val="0"/>
          <w:numId w:val="3"/>
        </w:numPr>
        <w:ind w:left="1276" w:hanging="283"/>
        <w:jc w:val="both"/>
        <w:rPr>
          <w:rFonts w:asciiTheme="majorHAnsi" w:hAnsiTheme="majorHAnsi"/>
          <w:sz w:val="24"/>
          <w:szCs w:val="24"/>
          <w:lang w:eastAsia="en-AU"/>
        </w:rPr>
      </w:pPr>
      <w:r w:rsidRPr="00F5381D">
        <w:rPr>
          <w:rFonts w:asciiTheme="majorHAnsi" w:hAnsiTheme="majorHAnsi"/>
          <w:sz w:val="24"/>
          <w:szCs w:val="24"/>
          <w:lang w:eastAsia="en-AU"/>
        </w:rPr>
        <w:t>for physical restraint to be immediately required there should be no less restrictive action that could be taken to avert the danger in the circumstances</w:t>
      </w:r>
    </w:p>
    <w:p w:rsidR="009A05D9" w:rsidRPr="00F5381D" w:rsidRDefault="009A05D9" w:rsidP="00572F9D">
      <w:pPr>
        <w:pStyle w:val="NoSpacing"/>
        <w:numPr>
          <w:ilvl w:val="0"/>
          <w:numId w:val="3"/>
        </w:numPr>
        <w:ind w:left="1276" w:hanging="283"/>
        <w:jc w:val="both"/>
        <w:rPr>
          <w:rFonts w:asciiTheme="majorHAnsi" w:hAnsiTheme="majorHAnsi"/>
          <w:sz w:val="24"/>
          <w:szCs w:val="24"/>
          <w:lang w:eastAsia="en-AU"/>
        </w:rPr>
      </w:pPr>
      <w:r w:rsidRPr="00F5381D">
        <w:rPr>
          <w:rFonts w:asciiTheme="majorHAnsi" w:hAnsiTheme="majorHAnsi"/>
          <w:sz w:val="24"/>
          <w:szCs w:val="24"/>
          <w:lang w:eastAsia="en-AU"/>
        </w:rPr>
        <w:t>staff should use the minimum force needed to protect against the danger of harm</w:t>
      </w:r>
    </w:p>
    <w:p w:rsidR="009A05D9" w:rsidRPr="00F5381D" w:rsidRDefault="009A05D9" w:rsidP="00572F9D">
      <w:pPr>
        <w:pStyle w:val="NoSpacing"/>
        <w:numPr>
          <w:ilvl w:val="0"/>
          <w:numId w:val="3"/>
        </w:numPr>
        <w:ind w:left="1276" w:hanging="283"/>
        <w:jc w:val="both"/>
        <w:rPr>
          <w:rFonts w:asciiTheme="majorHAnsi" w:hAnsiTheme="majorHAnsi"/>
          <w:sz w:val="24"/>
          <w:szCs w:val="24"/>
          <w:lang w:eastAsia="en-AU"/>
        </w:rPr>
      </w:pPr>
      <w:r w:rsidRPr="00F5381D">
        <w:rPr>
          <w:rFonts w:asciiTheme="majorHAnsi" w:hAnsiTheme="majorHAnsi"/>
          <w:sz w:val="24"/>
          <w:szCs w:val="24"/>
          <w:lang w:eastAsia="en-AU"/>
        </w:rPr>
        <w:t>staff should apply the physical restraint for the minimum duration required and remove it once the danger has passed</w:t>
      </w:r>
    </w:p>
    <w:p w:rsidR="009A05D9" w:rsidRPr="00F5381D" w:rsidRDefault="009A05D9" w:rsidP="00572F9D">
      <w:pPr>
        <w:pStyle w:val="NoSpacing"/>
        <w:numPr>
          <w:ilvl w:val="0"/>
          <w:numId w:val="7"/>
        </w:numPr>
        <w:jc w:val="both"/>
        <w:rPr>
          <w:rFonts w:asciiTheme="majorHAnsi" w:hAnsiTheme="majorHAnsi"/>
          <w:sz w:val="24"/>
          <w:szCs w:val="24"/>
          <w:lang w:eastAsia="en-AU"/>
        </w:rPr>
      </w:pPr>
      <w:r w:rsidRPr="00F5381D">
        <w:rPr>
          <w:rFonts w:asciiTheme="majorHAnsi" w:hAnsiTheme="majorHAnsi"/>
          <w:sz w:val="24"/>
          <w:szCs w:val="24"/>
          <w:lang w:eastAsia="en-AU"/>
        </w:rPr>
        <w:t xml:space="preserve">As with physical restraint, seclusion should only be used when it is immediately required to protect the safety of the student or any other person, as permitted by Regulation 15. </w:t>
      </w:r>
    </w:p>
    <w:p w:rsidR="009A05D9" w:rsidRPr="00F5381D" w:rsidRDefault="009A05D9" w:rsidP="00572F9D">
      <w:pPr>
        <w:pStyle w:val="NoSpacing"/>
        <w:numPr>
          <w:ilvl w:val="0"/>
          <w:numId w:val="7"/>
        </w:numPr>
        <w:jc w:val="both"/>
        <w:rPr>
          <w:rFonts w:asciiTheme="majorHAnsi" w:hAnsiTheme="majorHAnsi"/>
          <w:sz w:val="24"/>
          <w:szCs w:val="24"/>
          <w:lang w:eastAsia="en-AU"/>
        </w:rPr>
      </w:pPr>
      <w:r w:rsidRPr="00F5381D">
        <w:rPr>
          <w:rFonts w:asciiTheme="majorHAnsi" w:hAnsiTheme="majorHAnsi"/>
          <w:sz w:val="24"/>
          <w:szCs w:val="24"/>
          <w:lang w:eastAsia="en-AU"/>
        </w:rPr>
        <w:t xml:space="preserve">The decision about whether to use physical restraint or seclusion rests with the professional judgment of the staff member/s involved, who will need to </w:t>
      </w:r>
      <w:proofErr w:type="gramStart"/>
      <w:r w:rsidRPr="00F5381D">
        <w:rPr>
          <w:rFonts w:asciiTheme="majorHAnsi" w:hAnsiTheme="majorHAnsi"/>
          <w:sz w:val="24"/>
          <w:szCs w:val="24"/>
          <w:lang w:eastAsia="en-AU"/>
        </w:rPr>
        <w:t>take into account</w:t>
      </w:r>
      <w:proofErr w:type="gramEnd"/>
      <w:r w:rsidRPr="00F5381D">
        <w:rPr>
          <w:rFonts w:asciiTheme="majorHAnsi" w:hAnsiTheme="majorHAnsi"/>
          <w:sz w:val="24"/>
          <w:szCs w:val="24"/>
          <w:lang w:eastAsia="en-AU"/>
        </w:rPr>
        <w:t xml:space="preserve"> both their duty of care to their students, their right to protect themselves from harm and obligations under the </w:t>
      </w:r>
      <w:r w:rsidRPr="00F5381D">
        <w:rPr>
          <w:rFonts w:asciiTheme="majorHAnsi" w:hAnsiTheme="majorHAnsi"/>
          <w:i/>
          <w:iCs/>
          <w:sz w:val="24"/>
          <w:szCs w:val="24"/>
          <w:lang w:eastAsia="en-AU"/>
        </w:rPr>
        <w:t xml:space="preserve">Charter of Human Rights and Responsibilities Act 2006 </w:t>
      </w:r>
      <w:r w:rsidRPr="00F5381D">
        <w:rPr>
          <w:rFonts w:asciiTheme="majorHAnsi" w:hAnsiTheme="majorHAnsi"/>
          <w:sz w:val="24"/>
          <w:szCs w:val="24"/>
          <w:lang w:eastAsia="en-AU"/>
        </w:rPr>
        <w:t xml:space="preserve">(the Charter). In taking into account the Charter, staff should consider the </w:t>
      </w:r>
      <w:hyperlink r:id="rId10" w:history="1">
        <w:r w:rsidRPr="00F5381D">
          <w:rPr>
            <w:rFonts w:asciiTheme="majorHAnsi" w:hAnsiTheme="majorHAnsi"/>
            <w:sz w:val="24"/>
            <w:szCs w:val="24"/>
            <w:lang w:eastAsia="en-AU"/>
          </w:rPr>
          <w:t>Guidance for Responding to Violent and Dangerous Student Behaviours of Concern</w:t>
        </w:r>
      </w:hyperlink>
      <w:r w:rsidRPr="00F5381D">
        <w:rPr>
          <w:rFonts w:asciiTheme="majorHAnsi" w:hAnsiTheme="majorHAnsi"/>
          <w:sz w:val="24"/>
          <w:szCs w:val="24"/>
          <w:lang w:eastAsia="en-AU"/>
        </w:rPr>
        <w:t xml:space="preserve">.  </w:t>
      </w:r>
    </w:p>
    <w:p w:rsidR="009A05D9" w:rsidRPr="00F5381D" w:rsidRDefault="009A05D9" w:rsidP="00572F9D">
      <w:pPr>
        <w:pStyle w:val="NoSpacing"/>
        <w:numPr>
          <w:ilvl w:val="0"/>
          <w:numId w:val="7"/>
        </w:numPr>
        <w:jc w:val="both"/>
        <w:rPr>
          <w:rFonts w:asciiTheme="majorHAnsi" w:hAnsiTheme="majorHAnsi"/>
          <w:sz w:val="24"/>
          <w:szCs w:val="24"/>
          <w:lang w:eastAsia="en-AU"/>
        </w:rPr>
      </w:pPr>
      <w:r w:rsidRPr="00F5381D">
        <w:rPr>
          <w:rFonts w:asciiTheme="majorHAnsi" w:hAnsiTheme="majorHAnsi"/>
          <w:sz w:val="24"/>
          <w:szCs w:val="24"/>
          <w:lang w:eastAsia="en-AU"/>
        </w:rPr>
        <w:t xml:space="preserve">Rooms or areas designed specifically </w:t>
      </w:r>
      <w:proofErr w:type="gramStart"/>
      <w:r w:rsidRPr="00F5381D">
        <w:rPr>
          <w:rFonts w:asciiTheme="majorHAnsi" w:hAnsiTheme="majorHAnsi"/>
          <w:sz w:val="24"/>
          <w:szCs w:val="24"/>
          <w:lang w:eastAsia="en-AU"/>
        </w:rPr>
        <w:t>for the purpose of</w:t>
      </w:r>
      <w:proofErr w:type="gramEnd"/>
      <w:r w:rsidRPr="00F5381D">
        <w:rPr>
          <w:rFonts w:asciiTheme="majorHAnsi" w:hAnsiTheme="majorHAnsi"/>
          <w:sz w:val="24"/>
          <w:szCs w:val="24"/>
          <w:lang w:eastAsia="en-AU"/>
        </w:rPr>
        <w:t xml:space="preserve"> seclusion or which are used solely or primarily for the purpose of seclusion are not permitted in Victorian government schools.</w:t>
      </w:r>
    </w:p>
    <w:p w:rsidR="009A05D9" w:rsidRPr="00F5381D" w:rsidRDefault="009A05D9" w:rsidP="00572F9D">
      <w:pPr>
        <w:pStyle w:val="NoSpacing"/>
        <w:numPr>
          <w:ilvl w:val="0"/>
          <w:numId w:val="7"/>
        </w:numPr>
        <w:jc w:val="both"/>
        <w:rPr>
          <w:rFonts w:asciiTheme="majorHAnsi" w:hAnsiTheme="majorHAnsi"/>
          <w:sz w:val="24"/>
          <w:szCs w:val="24"/>
          <w:lang w:eastAsia="en-AU"/>
        </w:rPr>
      </w:pPr>
      <w:r w:rsidRPr="00F5381D">
        <w:rPr>
          <w:rFonts w:asciiTheme="majorHAnsi" w:hAnsiTheme="majorHAnsi"/>
          <w:sz w:val="24"/>
          <w:szCs w:val="24"/>
          <w:lang w:eastAsia="en-AU"/>
        </w:rPr>
        <w:t>Restraint and seclusion must not be included in a Behaviour Support Plan or be used as a routine behaviour management technique, to punish or discipline a student or to respond to:</w:t>
      </w:r>
    </w:p>
    <w:p w:rsidR="009A05D9" w:rsidRPr="00F5381D" w:rsidRDefault="009A05D9" w:rsidP="00572F9D">
      <w:pPr>
        <w:pStyle w:val="NoSpacing"/>
        <w:numPr>
          <w:ilvl w:val="0"/>
          <w:numId w:val="4"/>
        </w:numPr>
        <w:ind w:left="1134" w:hanging="283"/>
        <w:jc w:val="both"/>
        <w:rPr>
          <w:rFonts w:asciiTheme="majorHAnsi" w:hAnsiTheme="majorHAnsi"/>
          <w:sz w:val="24"/>
          <w:szCs w:val="24"/>
          <w:lang w:eastAsia="en-AU"/>
        </w:rPr>
      </w:pPr>
      <w:r w:rsidRPr="00F5381D">
        <w:rPr>
          <w:rFonts w:asciiTheme="majorHAnsi" w:hAnsiTheme="majorHAnsi"/>
          <w:sz w:val="24"/>
          <w:szCs w:val="24"/>
          <w:lang w:eastAsia="en-AU"/>
        </w:rPr>
        <w:t>a student’s refusal to comply with a direction, unless that refusal to comply creates an imminent risk to the safety of the student or another person</w:t>
      </w:r>
    </w:p>
    <w:p w:rsidR="009A05D9" w:rsidRPr="00F5381D" w:rsidRDefault="009A05D9" w:rsidP="00572F9D">
      <w:pPr>
        <w:pStyle w:val="NoSpacing"/>
        <w:numPr>
          <w:ilvl w:val="0"/>
          <w:numId w:val="4"/>
        </w:numPr>
        <w:ind w:left="1134" w:hanging="283"/>
        <w:jc w:val="both"/>
        <w:rPr>
          <w:rFonts w:asciiTheme="majorHAnsi" w:hAnsiTheme="majorHAnsi"/>
          <w:sz w:val="24"/>
          <w:szCs w:val="24"/>
          <w:lang w:eastAsia="en-AU"/>
        </w:rPr>
      </w:pPr>
      <w:r w:rsidRPr="00F5381D">
        <w:rPr>
          <w:rFonts w:asciiTheme="majorHAnsi" w:hAnsiTheme="majorHAnsi"/>
          <w:sz w:val="24"/>
          <w:szCs w:val="24"/>
          <w:lang w:eastAsia="en-AU"/>
        </w:rPr>
        <w:t>a student leaving the classroom/school without permission, unless that conduct causes an imminent risk to the safety of the student or another person</w:t>
      </w:r>
    </w:p>
    <w:p w:rsidR="009A05D9" w:rsidRPr="00F5381D" w:rsidRDefault="009A05D9" w:rsidP="00572F9D">
      <w:pPr>
        <w:pStyle w:val="NoSpacing"/>
        <w:numPr>
          <w:ilvl w:val="0"/>
          <w:numId w:val="4"/>
        </w:numPr>
        <w:ind w:left="1134" w:hanging="283"/>
        <w:jc w:val="both"/>
        <w:rPr>
          <w:rFonts w:asciiTheme="majorHAnsi" w:hAnsiTheme="majorHAnsi"/>
          <w:sz w:val="24"/>
          <w:szCs w:val="24"/>
          <w:lang w:eastAsia="en-AU"/>
        </w:rPr>
      </w:pPr>
      <w:r w:rsidRPr="00F5381D">
        <w:rPr>
          <w:rFonts w:asciiTheme="majorHAnsi" w:hAnsiTheme="majorHAnsi"/>
          <w:sz w:val="24"/>
          <w:szCs w:val="24"/>
          <w:lang w:eastAsia="en-AU"/>
        </w:rPr>
        <w:t>verbal threats of harm from a student, except where there is a reasonable belief that the threat will be immediately enacted</w:t>
      </w:r>
    </w:p>
    <w:p w:rsidR="009A05D9" w:rsidRPr="00F5381D" w:rsidRDefault="009A05D9" w:rsidP="00572F9D">
      <w:pPr>
        <w:pStyle w:val="NoSpacing"/>
        <w:numPr>
          <w:ilvl w:val="0"/>
          <w:numId w:val="4"/>
        </w:numPr>
        <w:ind w:left="1134" w:hanging="283"/>
        <w:jc w:val="both"/>
        <w:rPr>
          <w:rFonts w:asciiTheme="majorHAnsi" w:hAnsiTheme="majorHAnsi"/>
          <w:sz w:val="24"/>
          <w:szCs w:val="24"/>
          <w:lang w:eastAsia="en-AU"/>
        </w:rPr>
      </w:pPr>
      <w:r w:rsidRPr="00F5381D">
        <w:rPr>
          <w:rFonts w:asciiTheme="majorHAnsi" w:hAnsiTheme="majorHAnsi"/>
          <w:sz w:val="24"/>
          <w:szCs w:val="24"/>
          <w:lang w:eastAsia="en-AU"/>
        </w:rPr>
        <w:t>property destruction caused by the student unless that destruction is placing any pe</w:t>
      </w:r>
      <w:r w:rsidR="004E2683" w:rsidRPr="00F5381D">
        <w:rPr>
          <w:rFonts w:asciiTheme="majorHAnsi" w:hAnsiTheme="majorHAnsi"/>
          <w:sz w:val="24"/>
          <w:szCs w:val="24"/>
          <w:lang w:eastAsia="en-AU"/>
        </w:rPr>
        <w:t>rson at immediate risk of harm</w:t>
      </w:r>
    </w:p>
    <w:p w:rsidR="009A05D9" w:rsidRPr="00F5381D" w:rsidRDefault="009A05D9" w:rsidP="00572F9D">
      <w:pPr>
        <w:pStyle w:val="NoSpacing"/>
        <w:numPr>
          <w:ilvl w:val="0"/>
          <w:numId w:val="7"/>
        </w:numPr>
        <w:jc w:val="both"/>
        <w:rPr>
          <w:rFonts w:asciiTheme="majorHAnsi" w:hAnsiTheme="majorHAnsi"/>
          <w:sz w:val="24"/>
          <w:szCs w:val="24"/>
          <w:lang w:eastAsia="en-AU"/>
        </w:rPr>
      </w:pPr>
      <w:r w:rsidRPr="00F5381D">
        <w:rPr>
          <w:rFonts w:asciiTheme="majorHAnsi" w:hAnsiTheme="majorHAnsi"/>
          <w:sz w:val="24"/>
          <w:szCs w:val="24"/>
          <w:lang w:eastAsia="en-AU"/>
        </w:rPr>
        <w:t>Any restraint which covers the student’s mouth or nose, in any way restricts breathing, takes the student to the ground into the prone or supine position, involves the hyperextension of joints, or application of pressure to the neck, chest or joints, must not be used.</w:t>
      </w:r>
    </w:p>
    <w:p w:rsidR="009A05D9" w:rsidRPr="00F5381D" w:rsidRDefault="009A05D9" w:rsidP="00572F9D">
      <w:pPr>
        <w:pStyle w:val="NoSpacing"/>
        <w:numPr>
          <w:ilvl w:val="0"/>
          <w:numId w:val="7"/>
        </w:numPr>
        <w:jc w:val="both"/>
        <w:rPr>
          <w:rFonts w:asciiTheme="majorHAnsi" w:hAnsiTheme="majorHAnsi"/>
          <w:sz w:val="24"/>
          <w:szCs w:val="24"/>
          <w:lang w:eastAsia="en-AU"/>
        </w:rPr>
      </w:pPr>
      <w:r w:rsidRPr="00F5381D">
        <w:rPr>
          <w:rFonts w:asciiTheme="majorHAnsi" w:hAnsiTheme="majorHAnsi"/>
          <w:sz w:val="24"/>
          <w:szCs w:val="24"/>
          <w:lang w:eastAsia="en-AU"/>
        </w:rPr>
        <w:t>Mechanical restraints should never be used in schools to restrict a student’s freedom of movement, unless the restraint is for a therapeutic purpose with written evidence of the prescription / recommendation, or if required to travel safely in a vehicle.</w:t>
      </w:r>
    </w:p>
    <w:p w:rsidR="009A05D9" w:rsidRPr="00F5381D" w:rsidRDefault="009A05D9" w:rsidP="00F5381D">
      <w:pPr>
        <w:pStyle w:val="NoSpacing"/>
        <w:ind w:left="720"/>
        <w:jc w:val="both"/>
        <w:rPr>
          <w:rFonts w:asciiTheme="majorHAnsi" w:hAnsiTheme="majorHAnsi"/>
          <w:sz w:val="24"/>
          <w:szCs w:val="24"/>
          <w:lang w:eastAsia="en-AU"/>
        </w:rPr>
      </w:pPr>
    </w:p>
    <w:p w:rsidR="00F5381D" w:rsidRPr="00F5381D" w:rsidRDefault="00F5381D" w:rsidP="00F5381D">
      <w:pPr>
        <w:pStyle w:val="NoSpacing"/>
        <w:ind w:left="567" w:hanging="567"/>
        <w:jc w:val="both"/>
        <w:rPr>
          <w:rStyle w:val="SubtleReference"/>
        </w:rPr>
      </w:pPr>
    </w:p>
    <w:p w:rsidR="009A05D9" w:rsidRPr="00F5381D" w:rsidRDefault="009A05D9" w:rsidP="00F5381D">
      <w:pPr>
        <w:pStyle w:val="NoSpacing"/>
        <w:ind w:left="567" w:hanging="567"/>
        <w:jc w:val="both"/>
        <w:rPr>
          <w:rStyle w:val="SubtleReference"/>
        </w:rPr>
      </w:pPr>
      <w:r w:rsidRPr="00F5381D">
        <w:rPr>
          <w:rStyle w:val="SubtleReference"/>
        </w:rPr>
        <w:lastRenderedPageBreak/>
        <w:t>Purpose</w:t>
      </w:r>
    </w:p>
    <w:p w:rsidR="009A05D9" w:rsidRPr="00F5381D" w:rsidRDefault="009A05D9" w:rsidP="00572F9D">
      <w:pPr>
        <w:pStyle w:val="NoSpacing"/>
        <w:numPr>
          <w:ilvl w:val="0"/>
          <w:numId w:val="9"/>
        </w:numPr>
        <w:jc w:val="both"/>
        <w:rPr>
          <w:rFonts w:asciiTheme="majorHAnsi" w:hAnsiTheme="majorHAnsi"/>
          <w:sz w:val="24"/>
          <w:szCs w:val="24"/>
        </w:rPr>
      </w:pPr>
      <w:r w:rsidRPr="00F5381D">
        <w:rPr>
          <w:rFonts w:asciiTheme="majorHAnsi" w:hAnsiTheme="majorHAnsi"/>
          <w:sz w:val="24"/>
          <w:szCs w:val="24"/>
        </w:rPr>
        <w:t xml:space="preserve">To ensure that </w:t>
      </w:r>
      <w:r w:rsidR="002E09B2" w:rsidRPr="00F5381D">
        <w:rPr>
          <w:rFonts w:asciiTheme="majorHAnsi" w:hAnsiTheme="majorHAnsi" w:cs="Arial"/>
          <w:sz w:val="24"/>
          <w:szCs w:val="24"/>
        </w:rPr>
        <w:t xml:space="preserve">Charles La Trobe College </w:t>
      </w:r>
      <w:r w:rsidRPr="00F5381D">
        <w:rPr>
          <w:rFonts w:asciiTheme="majorHAnsi" w:hAnsiTheme="majorHAnsi" w:cs="Arial"/>
          <w:sz w:val="24"/>
          <w:szCs w:val="24"/>
        </w:rPr>
        <w:t>responds to dangerous and violent student behaviour of concern if applicable.</w:t>
      </w:r>
    </w:p>
    <w:p w:rsidR="009A05D9" w:rsidRPr="00F5381D" w:rsidRDefault="009A05D9" w:rsidP="00572F9D">
      <w:pPr>
        <w:pStyle w:val="NoSpacing"/>
        <w:numPr>
          <w:ilvl w:val="0"/>
          <w:numId w:val="9"/>
        </w:numPr>
        <w:jc w:val="both"/>
        <w:rPr>
          <w:rFonts w:asciiTheme="majorHAnsi" w:hAnsiTheme="majorHAnsi"/>
          <w:sz w:val="24"/>
          <w:szCs w:val="24"/>
          <w:lang w:eastAsia="en-AU"/>
        </w:rPr>
      </w:pPr>
      <w:r w:rsidRPr="00F5381D">
        <w:rPr>
          <w:rFonts w:asciiTheme="majorHAnsi" w:hAnsiTheme="majorHAnsi"/>
          <w:sz w:val="24"/>
          <w:szCs w:val="24"/>
          <w:lang w:eastAsia="en-AU"/>
        </w:rPr>
        <w:t xml:space="preserve">To ensure the College is informed about DET’s policy about student restraint including that it is only used when certain conditions are </w:t>
      </w:r>
      <w:proofErr w:type="gramStart"/>
      <w:r w:rsidRPr="00F5381D">
        <w:rPr>
          <w:rFonts w:asciiTheme="majorHAnsi" w:hAnsiTheme="majorHAnsi"/>
          <w:sz w:val="24"/>
          <w:szCs w:val="24"/>
          <w:lang w:eastAsia="en-AU"/>
        </w:rPr>
        <w:t>met</w:t>
      </w:r>
      <w:proofErr w:type="gramEnd"/>
      <w:r w:rsidRPr="00F5381D">
        <w:rPr>
          <w:rFonts w:asciiTheme="majorHAnsi" w:hAnsiTheme="majorHAnsi"/>
          <w:sz w:val="24"/>
          <w:szCs w:val="24"/>
          <w:lang w:eastAsia="en-AU"/>
        </w:rPr>
        <w:t xml:space="preserve"> and that appropriate standards and procedures are followed. </w:t>
      </w:r>
    </w:p>
    <w:p w:rsidR="009A05D9" w:rsidRPr="00F5381D" w:rsidRDefault="009A05D9" w:rsidP="00572F9D">
      <w:pPr>
        <w:pStyle w:val="NoSpacing"/>
        <w:numPr>
          <w:ilvl w:val="0"/>
          <w:numId w:val="9"/>
        </w:numPr>
        <w:jc w:val="both"/>
        <w:rPr>
          <w:rFonts w:asciiTheme="majorHAnsi" w:hAnsiTheme="majorHAnsi"/>
          <w:sz w:val="24"/>
          <w:szCs w:val="24"/>
        </w:rPr>
      </w:pPr>
      <w:r w:rsidRPr="00F5381D">
        <w:rPr>
          <w:rFonts w:asciiTheme="majorHAnsi" w:hAnsiTheme="majorHAnsi"/>
          <w:sz w:val="24"/>
          <w:szCs w:val="24"/>
        </w:rPr>
        <w:t>To ensure staff and the College community are informed about the College’s proposed management practices.</w:t>
      </w:r>
    </w:p>
    <w:p w:rsidR="009A05D9" w:rsidRPr="00F5381D" w:rsidRDefault="009A05D9" w:rsidP="00572F9D">
      <w:pPr>
        <w:pStyle w:val="NoSpacing"/>
        <w:numPr>
          <w:ilvl w:val="0"/>
          <w:numId w:val="9"/>
        </w:numPr>
        <w:jc w:val="both"/>
        <w:rPr>
          <w:rFonts w:asciiTheme="majorHAnsi" w:hAnsiTheme="majorHAnsi" w:cs="Times New Roman"/>
          <w:sz w:val="24"/>
          <w:szCs w:val="24"/>
        </w:rPr>
      </w:pPr>
      <w:r w:rsidRPr="00F5381D">
        <w:rPr>
          <w:rFonts w:asciiTheme="majorHAnsi" w:hAnsiTheme="majorHAnsi"/>
          <w:sz w:val="24"/>
          <w:szCs w:val="24"/>
        </w:rPr>
        <w:t xml:space="preserve">To ensure policies and practices align with </w:t>
      </w:r>
      <w:r w:rsidRPr="00F5381D">
        <w:rPr>
          <w:rFonts w:asciiTheme="majorHAnsi" w:hAnsiTheme="majorHAnsi" w:cs="Arial"/>
          <w:sz w:val="24"/>
          <w:szCs w:val="24"/>
        </w:rPr>
        <w:t>DET policy and guidelines.</w:t>
      </w:r>
    </w:p>
    <w:p w:rsidR="009A05D9" w:rsidRPr="00F5381D" w:rsidRDefault="009A05D9" w:rsidP="00572F9D">
      <w:pPr>
        <w:pStyle w:val="NoSpacing"/>
        <w:numPr>
          <w:ilvl w:val="0"/>
          <w:numId w:val="9"/>
        </w:numPr>
        <w:jc w:val="both"/>
        <w:rPr>
          <w:rFonts w:asciiTheme="majorHAnsi" w:hAnsiTheme="majorHAnsi"/>
          <w:sz w:val="24"/>
          <w:szCs w:val="24"/>
          <w:lang w:eastAsia="en-AU"/>
        </w:rPr>
      </w:pPr>
      <w:r w:rsidRPr="00F5381D">
        <w:rPr>
          <w:rFonts w:asciiTheme="majorHAnsi" w:hAnsiTheme="majorHAnsi"/>
          <w:sz w:val="24"/>
          <w:szCs w:val="24"/>
        </w:rPr>
        <w:t xml:space="preserve">To ensure the College complies with the legislative requirements of the </w:t>
      </w:r>
      <w:r w:rsidRPr="00F5381D">
        <w:rPr>
          <w:rFonts w:asciiTheme="majorHAnsi" w:hAnsiTheme="majorHAnsi"/>
          <w:sz w:val="24"/>
          <w:szCs w:val="24"/>
          <w:lang w:eastAsia="en-AU"/>
        </w:rPr>
        <w:t>Regulation 15 of the Education and Training Reform Regulations 2007.</w:t>
      </w:r>
    </w:p>
    <w:p w:rsidR="009A05D9" w:rsidRPr="00F5381D" w:rsidRDefault="009A05D9" w:rsidP="00572F9D">
      <w:pPr>
        <w:pStyle w:val="NoSpacing"/>
        <w:numPr>
          <w:ilvl w:val="0"/>
          <w:numId w:val="9"/>
        </w:numPr>
        <w:jc w:val="both"/>
        <w:rPr>
          <w:rFonts w:asciiTheme="majorHAnsi" w:hAnsiTheme="majorHAnsi"/>
          <w:sz w:val="24"/>
          <w:szCs w:val="24"/>
          <w:lang w:eastAsia="en-AU"/>
        </w:rPr>
      </w:pPr>
      <w:r w:rsidRPr="00F5381D">
        <w:rPr>
          <w:rFonts w:asciiTheme="majorHAnsi" w:hAnsiTheme="majorHAnsi"/>
          <w:sz w:val="24"/>
          <w:szCs w:val="24"/>
          <w:lang w:eastAsia="en-AU"/>
        </w:rPr>
        <w:t xml:space="preserve">To ensure the </w:t>
      </w:r>
      <w:r w:rsidRPr="00F5381D">
        <w:rPr>
          <w:rFonts w:asciiTheme="majorHAnsi" w:hAnsiTheme="majorHAnsi"/>
          <w:sz w:val="24"/>
          <w:szCs w:val="24"/>
        </w:rPr>
        <w:t>College</w:t>
      </w:r>
      <w:r w:rsidRPr="00F5381D">
        <w:rPr>
          <w:rFonts w:asciiTheme="majorHAnsi" w:hAnsiTheme="majorHAnsi"/>
          <w:sz w:val="24"/>
          <w:szCs w:val="24"/>
          <w:lang w:eastAsia="en-AU"/>
        </w:rPr>
        <w:t xml:space="preserve"> complies with the requirements of Child Safe Standards 2 &amp; 3.</w:t>
      </w:r>
    </w:p>
    <w:p w:rsidR="009A05D9" w:rsidRPr="00F5381D" w:rsidRDefault="009A05D9" w:rsidP="00F5381D">
      <w:pPr>
        <w:pStyle w:val="NoSpacing"/>
        <w:jc w:val="both"/>
        <w:rPr>
          <w:rFonts w:asciiTheme="majorHAnsi" w:hAnsiTheme="majorHAnsi"/>
          <w:sz w:val="24"/>
          <w:szCs w:val="24"/>
          <w:lang w:eastAsia="en-AU"/>
        </w:rPr>
      </w:pPr>
      <w:r w:rsidRPr="00F5381D">
        <w:rPr>
          <w:rFonts w:asciiTheme="majorHAnsi" w:hAnsiTheme="majorHAnsi"/>
          <w:sz w:val="24"/>
          <w:szCs w:val="24"/>
          <w:lang w:eastAsia="en-AU"/>
        </w:rPr>
        <w:t> </w:t>
      </w:r>
    </w:p>
    <w:p w:rsidR="009A05D9" w:rsidRPr="00F5381D" w:rsidRDefault="009A05D9" w:rsidP="00F5381D">
      <w:pPr>
        <w:pStyle w:val="NoSpacing"/>
        <w:ind w:left="567" w:hanging="567"/>
        <w:jc w:val="both"/>
        <w:rPr>
          <w:rStyle w:val="SubtleReference"/>
        </w:rPr>
      </w:pPr>
      <w:r w:rsidRPr="00F5381D">
        <w:rPr>
          <w:rStyle w:val="SubtleReference"/>
        </w:rPr>
        <w:t>Definitions</w:t>
      </w:r>
    </w:p>
    <w:p w:rsidR="009A05D9" w:rsidRPr="00F5381D" w:rsidRDefault="009A05D9" w:rsidP="00F5381D">
      <w:pPr>
        <w:pStyle w:val="NoSpacing"/>
        <w:jc w:val="both"/>
        <w:rPr>
          <w:rFonts w:asciiTheme="majorHAnsi" w:hAnsiTheme="majorHAnsi"/>
          <w:sz w:val="24"/>
          <w:szCs w:val="24"/>
          <w:lang w:eastAsia="en-AU"/>
        </w:rPr>
      </w:pPr>
      <w:r w:rsidRPr="00F5381D">
        <w:rPr>
          <w:rFonts w:asciiTheme="majorHAnsi" w:hAnsiTheme="majorHAnsi"/>
          <w:sz w:val="24"/>
          <w:szCs w:val="24"/>
          <w:lang w:eastAsia="en-AU"/>
        </w:rPr>
        <w:t xml:space="preserve">In this policy, physical </w:t>
      </w:r>
      <w:r w:rsidRPr="00F5381D">
        <w:rPr>
          <w:rFonts w:asciiTheme="majorHAnsi" w:hAnsiTheme="majorHAnsi"/>
          <w:i/>
          <w:iCs/>
          <w:sz w:val="24"/>
          <w:szCs w:val="24"/>
          <w:lang w:eastAsia="en-AU"/>
        </w:rPr>
        <w:t>restraint</w:t>
      </w:r>
      <w:r w:rsidRPr="00F5381D">
        <w:rPr>
          <w:rFonts w:asciiTheme="majorHAnsi" w:hAnsiTheme="majorHAnsi"/>
          <w:sz w:val="24"/>
          <w:szCs w:val="24"/>
          <w:lang w:eastAsia="en-AU"/>
        </w:rPr>
        <w:t xml:space="preserve"> means the use of physical force to prevent, restrict or subdue movement of a student’s body or part of their body. Physical restraint should only be used when it is immediately required to protect the safety of the student or any other person. </w:t>
      </w:r>
    </w:p>
    <w:p w:rsidR="009A05D9" w:rsidRPr="00F5381D" w:rsidRDefault="009A05D9" w:rsidP="00F5381D">
      <w:pPr>
        <w:pStyle w:val="NoSpacing"/>
        <w:jc w:val="both"/>
        <w:rPr>
          <w:rFonts w:asciiTheme="majorHAnsi" w:hAnsiTheme="majorHAnsi"/>
          <w:sz w:val="24"/>
          <w:szCs w:val="24"/>
          <w:lang w:eastAsia="en-AU"/>
        </w:rPr>
      </w:pPr>
      <w:r w:rsidRPr="00F5381D">
        <w:rPr>
          <w:rFonts w:asciiTheme="majorHAnsi" w:hAnsiTheme="majorHAnsi"/>
          <w:sz w:val="24"/>
          <w:szCs w:val="24"/>
          <w:lang w:eastAsia="en-AU"/>
        </w:rPr>
        <w:t xml:space="preserve">In some limited circumstances, it may also be necessary to restrain a student from violent or dangerous behaviours by secluding them in an area where such action is immediately required to protect the safety of the student or any other person. </w:t>
      </w:r>
    </w:p>
    <w:p w:rsidR="009A05D9" w:rsidRPr="00F5381D" w:rsidRDefault="009A05D9" w:rsidP="00F5381D">
      <w:pPr>
        <w:pStyle w:val="NoSpacing"/>
        <w:jc w:val="both"/>
        <w:rPr>
          <w:rFonts w:asciiTheme="majorHAnsi" w:hAnsiTheme="majorHAnsi"/>
          <w:sz w:val="24"/>
          <w:szCs w:val="24"/>
          <w:lang w:eastAsia="en-AU"/>
        </w:rPr>
      </w:pPr>
      <w:r w:rsidRPr="00F5381D">
        <w:rPr>
          <w:rFonts w:asciiTheme="majorHAnsi" w:hAnsiTheme="majorHAnsi"/>
          <w:i/>
          <w:iCs/>
          <w:sz w:val="24"/>
          <w:szCs w:val="24"/>
          <w:lang w:eastAsia="en-AU"/>
        </w:rPr>
        <w:t>Seclusion</w:t>
      </w:r>
      <w:r w:rsidRPr="00F5381D">
        <w:rPr>
          <w:rFonts w:asciiTheme="majorHAnsi" w:hAnsiTheme="majorHAnsi"/>
          <w:sz w:val="24"/>
          <w:szCs w:val="24"/>
          <w:lang w:eastAsia="en-AU"/>
        </w:rPr>
        <w:t xml:space="preserve"> is the involuntary confinement of a student alone in a room or area from which the student is physically prevented from leaving. This includes situations where a door is locked as well as where the door is blocked by other objects or held closed by staff.  It does not include timeout, which is a behaviour management technique that is part of a Behaviour Support Plan, involves the monitored separation of the student in a non-locked setting, and is implemented </w:t>
      </w:r>
      <w:proofErr w:type="gramStart"/>
      <w:r w:rsidRPr="00F5381D">
        <w:rPr>
          <w:rFonts w:asciiTheme="majorHAnsi" w:hAnsiTheme="majorHAnsi"/>
          <w:sz w:val="24"/>
          <w:szCs w:val="24"/>
          <w:lang w:eastAsia="en-AU"/>
        </w:rPr>
        <w:t>for the purpose of</w:t>
      </w:r>
      <w:proofErr w:type="gramEnd"/>
      <w:r w:rsidRPr="00F5381D">
        <w:rPr>
          <w:rFonts w:asciiTheme="majorHAnsi" w:hAnsiTheme="majorHAnsi"/>
          <w:sz w:val="24"/>
          <w:szCs w:val="24"/>
          <w:lang w:eastAsia="en-AU"/>
        </w:rPr>
        <w:t xml:space="preserve"> calming.</w:t>
      </w:r>
    </w:p>
    <w:p w:rsidR="009A05D9" w:rsidRPr="00F5381D" w:rsidRDefault="009A05D9" w:rsidP="00F5381D">
      <w:pPr>
        <w:pStyle w:val="NoSpacing"/>
        <w:ind w:hanging="567"/>
        <w:jc w:val="both"/>
        <w:rPr>
          <w:rStyle w:val="SubtleReference"/>
        </w:rPr>
      </w:pPr>
    </w:p>
    <w:p w:rsidR="009A05D9" w:rsidRPr="00F5381D" w:rsidRDefault="009A05D9" w:rsidP="00F5381D">
      <w:pPr>
        <w:pStyle w:val="NoSpacing"/>
        <w:jc w:val="both"/>
        <w:rPr>
          <w:rStyle w:val="SubtleReference"/>
        </w:rPr>
      </w:pPr>
      <w:r w:rsidRPr="00F5381D">
        <w:rPr>
          <w:rStyle w:val="SubtleReference"/>
        </w:rPr>
        <w:t>Implementation</w:t>
      </w:r>
    </w:p>
    <w:p w:rsidR="00DC0D2B" w:rsidRPr="00F5381D" w:rsidRDefault="00DC0D2B" w:rsidP="00572F9D">
      <w:pPr>
        <w:pStyle w:val="NoSpacing"/>
        <w:numPr>
          <w:ilvl w:val="0"/>
          <w:numId w:val="10"/>
        </w:numPr>
        <w:ind w:left="851" w:hanging="709"/>
        <w:jc w:val="both"/>
        <w:rPr>
          <w:rFonts w:asciiTheme="majorHAnsi" w:hAnsiTheme="majorHAnsi"/>
          <w:sz w:val="24"/>
          <w:szCs w:val="24"/>
          <w:lang w:eastAsia="en-AU"/>
        </w:rPr>
      </w:pPr>
      <w:r w:rsidRPr="00F5381D">
        <w:rPr>
          <w:rFonts w:asciiTheme="majorHAnsi" w:hAnsiTheme="majorHAnsi"/>
          <w:sz w:val="24"/>
          <w:szCs w:val="24"/>
          <w:lang w:eastAsia="en-AU"/>
        </w:rPr>
        <w:t>The safety and wellbeing of students is our highest priority.</w:t>
      </w:r>
    </w:p>
    <w:p w:rsidR="009A05D9" w:rsidRPr="00F5381D" w:rsidRDefault="009A05D9" w:rsidP="00572F9D">
      <w:pPr>
        <w:pStyle w:val="NoSpacing"/>
        <w:numPr>
          <w:ilvl w:val="0"/>
          <w:numId w:val="10"/>
        </w:numPr>
        <w:ind w:left="851" w:hanging="709"/>
        <w:jc w:val="both"/>
        <w:rPr>
          <w:rFonts w:asciiTheme="majorHAnsi" w:hAnsiTheme="majorHAnsi"/>
          <w:sz w:val="24"/>
          <w:szCs w:val="24"/>
          <w:lang w:eastAsia="en-AU"/>
        </w:rPr>
      </w:pPr>
      <w:r w:rsidRPr="00F5381D">
        <w:rPr>
          <w:rFonts w:asciiTheme="majorHAnsi" w:hAnsiTheme="majorHAnsi"/>
          <w:sz w:val="24"/>
          <w:szCs w:val="24"/>
          <w:lang w:eastAsia="en-AU"/>
        </w:rPr>
        <w:t>The Principal will ensure:</w:t>
      </w:r>
    </w:p>
    <w:p w:rsidR="009A05D9" w:rsidRPr="00F5381D" w:rsidRDefault="009A05D9" w:rsidP="00572F9D">
      <w:pPr>
        <w:pStyle w:val="NoSpacing"/>
        <w:numPr>
          <w:ilvl w:val="0"/>
          <w:numId w:val="2"/>
        </w:numPr>
        <w:ind w:left="1276" w:hanging="283"/>
        <w:jc w:val="both"/>
        <w:rPr>
          <w:rFonts w:asciiTheme="majorHAnsi" w:hAnsiTheme="majorHAnsi"/>
          <w:sz w:val="24"/>
          <w:szCs w:val="24"/>
          <w:lang w:eastAsia="en-AU"/>
        </w:rPr>
      </w:pPr>
      <w:r w:rsidRPr="00F5381D">
        <w:rPr>
          <w:rFonts w:asciiTheme="majorHAnsi" w:hAnsiTheme="majorHAnsi"/>
          <w:sz w:val="24"/>
          <w:szCs w:val="24"/>
        </w:rPr>
        <w:t>College</w:t>
      </w:r>
      <w:r w:rsidRPr="00F5381D">
        <w:rPr>
          <w:rFonts w:asciiTheme="majorHAnsi" w:hAnsiTheme="majorHAnsi"/>
          <w:sz w:val="24"/>
          <w:szCs w:val="24"/>
          <w:lang w:eastAsia="en-AU"/>
        </w:rPr>
        <w:t xml:space="preserve"> policy and practices are aligned with the guidance</w:t>
      </w:r>
    </w:p>
    <w:p w:rsidR="009A05D9" w:rsidRPr="00F5381D" w:rsidRDefault="009A05D9" w:rsidP="00572F9D">
      <w:pPr>
        <w:pStyle w:val="NoSpacing"/>
        <w:numPr>
          <w:ilvl w:val="0"/>
          <w:numId w:val="2"/>
        </w:numPr>
        <w:ind w:left="1276" w:hanging="283"/>
        <w:jc w:val="both"/>
        <w:rPr>
          <w:rFonts w:asciiTheme="majorHAnsi" w:hAnsiTheme="majorHAnsi"/>
          <w:sz w:val="24"/>
          <w:szCs w:val="24"/>
          <w:lang w:eastAsia="en-AU"/>
        </w:rPr>
      </w:pPr>
      <w:r w:rsidRPr="00F5381D">
        <w:rPr>
          <w:rFonts w:asciiTheme="majorHAnsi" w:hAnsiTheme="majorHAnsi"/>
          <w:sz w:val="24"/>
          <w:szCs w:val="24"/>
          <w:lang w:eastAsia="en-AU"/>
        </w:rPr>
        <w:t xml:space="preserve">staff </w:t>
      </w:r>
      <w:proofErr w:type="gramStart"/>
      <w:r w:rsidRPr="00F5381D">
        <w:rPr>
          <w:rFonts w:asciiTheme="majorHAnsi" w:hAnsiTheme="majorHAnsi"/>
          <w:sz w:val="24"/>
          <w:szCs w:val="24"/>
          <w:lang w:eastAsia="en-AU"/>
        </w:rPr>
        <w:t>have the opportunity to</w:t>
      </w:r>
      <w:proofErr w:type="gramEnd"/>
      <w:r w:rsidRPr="00F5381D">
        <w:rPr>
          <w:rFonts w:asciiTheme="majorHAnsi" w:hAnsiTheme="majorHAnsi"/>
          <w:sz w:val="24"/>
          <w:szCs w:val="24"/>
          <w:lang w:eastAsia="en-AU"/>
        </w:rPr>
        <w:t xml:space="preserve"> engage in professional development </w:t>
      </w:r>
    </w:p>
    <w:p w:rsidR="009A05D9" w:rsidRPr="00F5381D" w:rsidRDefault="009A05D9" w:rsidP="00572F9D">
      <w:pPr>
        <w:pStyle w:val="NoSpacing"/>
        <w:numPr>
          <w:ilvl w:val="0"/>
          <w:numId w:val="2"/>
        </w:numPr>
        <w:ind w:left="1276" w:hanging="283"/>
        <w:jc w:val="both"/>
        <w:rPr>
          <w:rFonts w:asciiTheme="majorHAnsi" w:hAnsiTheme="majorHAnsi"/>
          <w:sz w:val="24"/>
          <w:szCs w:val="24"/>
          <w:lang w:eastAsia="en-AU"/>
        </w:rPr>
      </w:pPr>
      <w:r w:rsidRPr="00F5381D">
        <w:rPr>
          <w:rFonts w:asciiTheme="majorHAnsi" w:hAnsiTheme="majorHAnsi"/>
          <w:sz w:val="24"/>
          <w:szCs w:val="24"/>
          <w:lang w:eastAsia="en-AU"/>
        </w:rPr>
        <w:t xml:space="preserve">staff are aware of the Department resources available on </w:t>
      </w:r>
      <w:proofErr w:type="spellStart"/>
      <w:r w:rsidRPr="00F5381D">
        <w:rPr>
          <w:rFonts w:asciiTheme="majorHAnsi" w:hAnsiTheme="majorHAnsi"/>
          <w:sz w:val="24"/>
          <w:szCs w:val="24"/>
          <w:lang w:eastAsia="en-AU"/>
        </w:rPr>
        <w:t>eduGate</w:t>
      </w:r>
      <w:proofErr w:type="spellEnd"/>
      <w:r w:rsidRPr="00F5381D">
        <w:rPr>
          <w:rFonts w:asciiTheme="majorHAnsi" w:hAnsiTheme="majorHAnsi"/>
          <w:sz w:val="24"/>
          <w:szCs w:val="24"/>
          <w:lang w:eastAsia="en-AU"/>
        </w:rPr>
        <w:t xml:space="preserve"> to support them to effectively manage behaviours of concern</w:t>
      </w:r>
    </w:p>
    <w:p w:rsidR="009A05D9" w:rsidRPr="00F5381D" w:rsidRDefault="009A05D9" w:rsidP="00572F9D">
      <w:pPr>
        <w:pStyle w:val="NoSpacing"/>
        <w:numPr>
          <w:ilvl w:val="0"/>
          <w:numId w:val="10"/>
        </w:numPr>
        <w:ind w:left="851" w:hanging="709"/>
        <w:jc w:val="both"/>
        <w:rPr>
          <w:rFonts w:asciiTheme="majorHAnsi" w:hAnsiTheme="majorHAnsi"/>
          <w:sz w:val="24"/>
          <w:szCs w:val="24"/>
          <w:lang w:eastAsia="en-AU"/>
        </w:rPr>
      </w:pPr>
      <w:r w:rsidRPr="00F5381D">
        <w:rPr>
          <w:rFonts w:asciiTheme="majorHAnsi" w:hAnsiTheme="majorHAnsi"/>
          <w:sz w:val="24"/>
          <w:szCs w:val="24"/>
          <w:lang w:eastAsia="en-AU"/>
        </w:rPr>
        <w:t xml:space="preserve">The </w:t>
      </w:r>
      <w:r w:rsidRPr="00F5381D">
        <w:rPr>
          <w:rFonts w:asciiTheme="majorHAnsi" w:hAnsiTheme="majorHAnsi"/>
          <w:sz w:val="24"/>
          <w:szCs w:val="24"/>
        </w:rPr>
        <w:t>College</w:t>
      </w:r>
      <w:r w:rsidRPr="00F5381D">
        <w:rPr>
          <w:rFonts w:asciiTheme="majorHAnsi" w:hAnsiTheme="majorHAnsi"/>
          <w:sz w:val="24"/>
          <w:szCs w:val="24"/>
          <w:lang w:eastAsia="en-AU"/>
        </w:rPr>
        <w:t xml:space="preserve"> will update the </w:t>
      </w:r>
      <w:r w:rsidR="00107A58" w:rsidRPr="00F5381D">
        <w:rPr>
          <w:rFonts w:asciiTheme="majorHAnsi" w:hAnsiTheme="majorHAnsi"/>
          <w:sz w:val="24"/>
          <w:szCs w:val="24"/>
          <w:lang w:eastAsia="en-AU"/>
        </w:rPr>
        <w:t xml:space="preserve">Student Discipline/Student Engagement Policies </w:t>
      </w:r>
      <w:r w:rsidRPr="00F5381D">
        <w:rPr>
          <w:rFonts w:asciiTheme="majorHAnsi" w:hAnsiTheme="majorHAnsi"/>
          <w:sz w:val="24"/>
          <w:szCs w:val="24"/>
          <w:lang w:eastAsia="en-AU"/>
        </w:rPr>
        <w:t xml:space="preserve">to ensure that restraint and seclusion is only used in accordance with </w:t>
      </w:r>
      <w:r w:rsidRPr="00F5381D">
        <w:rPr>
          <w:rFonts w:asciiTheme="majorHAnsi" w:hAnsiTheme="majorHAnsi"/>
          <w:sz w:val="24"/>
          <w:szCs w:val="24"/>
        </w:rPr>
        <w:t xml:space="preserve">the </w:t>
      </w:r>
      <w:r w:rsidRPr="00F5381D">
        <w:rPr>
          <w:rFonts w:asciiTheme="majorHAnsi" w:hAnsiTheme="majorHAnsi"/>
          <w:sz w:val="24"/>
          <w:szCs w:val="24"/>
          <w:lang w:eastAsia="en-AU"/>
        </w:rPr>
        <w:t>Regulation 15 of the Education and Training Reform Regulations 2007 as detailed above.</w:t>
      </w:r>
    </w:p>
    <w:p w:rsidR="009A05D9" w:rsidRPr="00F5381D" w:rsidRDefault="009A05D9" w:rsidP="00572F9D">
      <w:pPr>
        <w:pStyle w:val="NoSpacing"/>
        <w:numPr>
          <w:ilvl w:val="0"/>
          <w:numId w:val="10"/>
        </w:numPr>
        <w:ind w:left="851" w:hanging="709"/>
        <w:jc w:val="both"/>
        <w:rPr>
          <w:rFonts w:asciiTheme="majorHAnsi" w:hAnsiTheme="majorHAnsi"/>
          <w:sz w:val="24"/>
          <w:szCs w:val="24"/>
          <w:lang w:eastAsia="en-AU"/>
        </w:rPr>
      </w:pPr>
      <w:r w:rsidRPr="00F5381D">
        <w:rPr>
          <w:rFonts w:asciiTheme="majorHAnsi" w:hAnsiTheme="majorHAnsi"/>
          <w:sz w:val="24"/>
          <w:szCs w:val="24"/>
          <w:lang w:eastAsia="en-AU"/>
        </w:rPr>
        <w:t xml:space="preserve">The </w:t>
      </w:r>
      <w:r w:rsidRPr="00F5381D">
        <w:rPr>
          <w:rFonts w:asciiTheme="majorHAnsi" w:hAnsiTheme="majorHAnsi"/>
          <w:sz w:val="24"/>
          <w:szCs w:val="24"/>
        </w:rPr>
        <w:t>College</w:t>
      </w:r>
      <w:r w:rsidRPr="00F5381D">
        <w:rPr>
          <w:rFonts w:asciiTheme="majorHAnsi" w:hAnsiTheme="majorHAnsi"/>
          <w:sz w:val="24"/>
          <w:szCs w:val="24"/>
          <w:lang w:eastAsia="en-AU"/>
        </w:rPr>
        <w:t xml:space="preserve"> explicitly will prohibit student restraint as described in dot point 6 above, mechanical restraints and/or an exclusion room.</w:t>
      </w:r>
    </w:p>
    <w:p w:rsidR="009A05D9" w:rsidRPr="00F5381D" w:rsidRDefault="009A05D9" w:rsidP="00572F9D">
      <w:pPr>
        <w:pStyle w:val="NoSpacing"/>
        <w:numPr>
          <w:ilvl w:val="0"/>
          <w:numId w:val="10"/>
        </w:numPr>
        <w:ind w:left="851" w:hanging="709"/>
        <w:jc w:val="both"/>
        <w:rPr>
          <w:rFonts w:asciiTheme="majorHAnsi" w:hAnsiTheme="majorHAnsi"/>
          <w:sz w:val="24"/>
          <w:szCs w:val="24"/>
          <w:lang w:eastAsia="en-AU"/>
        </w:rPr>
      </w:pPr>
      <w:r w:rsidRPr="00F5381D">
        <w:rPr>
          <w:rFonts w:asciiTheme="majorHAnsi" w:hAnsiTheme="majorHAnsi"/>
          <w:sz w:val="24"/>
          <w:szCs w:val="24"/>
          <w:lang w:eastAsia="en-AU"/>
        </w:rPr>
        <w:t>Student Behaviour Support Plans will not include restraint or exclusion as described in dot point 6 above.</w:t>
      </w:r>
    </w:p>
    <w:p w:rsidR="009A05D9" w:rsidRPr="00F5381D" w:rsidRDefault="009A05D9" w:rsidP="00572F9D">
      <w:pPr>
        <w:pStyle w:val="NoSpacing"/>
        <w:numPr>
          <w:ilvl w:val="0"/>
          <w:numId w:val="10"/>
        </w:numPr>
        <w:ind w:left="851" w:hanging="709"/>
        <w:jc w:val="both"/>
        <w:rPr>
          <w:rFonts w:asciiTheme="majorHAnsi" w:hAnsiTheme="majorHAnsi"/>
          <w:sz w:val="24"/>
          <w:szCs w:val="24"/>
          <w:lang w:eastAsia="en-AU"/>
        </w:rPr>
      </w:pPr>
      <w:r w:rsidRPr="00F5381D">
        <w:rPr>
          <w:rFonts w:asciiTheme="majorHAnsi" w:hAnsiTheme="majorHAnsi"/>
          <w:sz w:val="24"/>
          <w:szCs w:val="24"/>
          <w:lang w:eastAsia="en-AU"/>
        </w:rPr>
        <w:lastRenderedPageBreak/>
        <w:t>Professional learning will be provided for all staff in relation to dealing with violent and dangerous student behaviour of concern.</w:t>
      </w:r>
    </w:p>
    <w:p w:rsidR="009A05D9" w:rsidRPr="00F5381D" w:rsidRDefault="009A05D9" w:rsidP="00572F9D">
      <w:pPr>
        <w:pStyle w:val="NoSpacing"/>
        <w:numPr>
          <w:ilvl w:val="0"/>
          <w:numId w:val="10"/>
        </w:numPr>
        <w:ind w:left="851" w:hanging="709"/>
        <w:jc w:val="both"/>
        <w:rPr>
          <w:rFonts w:asciiTheme="majorHAnsi" w:hAnsiTheme="majorHAnsi"/>
          <w:sz w:val="24"/>
          <w:szCs w:val="24"/>
          <w:lang w:eastAsia="en-AU"/>
        </w:rPr>
      </w:pPr>
      <w:r w:rsidRPr="00F5381D">
        <w:rPr>
          <w:rFonts w:asciiTheme="majorHAnsi" w:hAnsiTheme="majorHAnsi"/>
          <w:sz w:val="24"/>
          <w:szCs w:val="24"/>
          <w:lang w:eastAsia="en-AU"/>
        </w:rPr>
        <w:t xml:space="preserve">Detailed guidance is available for staff in the </w:t>
      </w:r>
      <w:hyperlink r:id="rId11" w:history="1">
        <w:r w:rsidRPr="00F5381D">
          <w:rPr>
            <w:rFonts w:asciiTheme="majorHAnsi" w:hAnsiTheme="majorHAnsi"/>
            <w:sz w:val="24"/>
            <w:szCs w:val="24"/>
            <w:lang w:eastAsia="en-AU"/>
          </w:rPr>
          <w:t>Guidance for Responding to Violent and Dangerous Student Behaviours of Concern</w:t>
        </w:r>
      </w:hyperlink>
      <w:r w:rsidRPr="00F5381D">
        <w:rPr>
          <w:rFonts w:asciiTheme="majorHAnsi" w:hAnsiTheme="majorHAnsi"/>
          <w:sz w:val="24"/>
          <w:szCs w:val="24"/>
          <w:lang w:eastAsia="en-AU"/>
        </w:rPr>
        <w:t xml:space="preserve"> publication.</w:t>
      </w:r>
    </w:p>
    <w:p w:rsidR="009A05D9" w:rsidRPr="00F5381D" w:rsidRDefault="009A05D9" w:rsidP="00572F9D">
      <w:pPr>
        <w:pStyle w:val="NoSpacing"/>
        <w:numPr>
          <w:ilvl w:val="0"/>
          <w:numId w:val="10"/>
        </w:numPr>
        <w:ind w:left="851" w:hanging="709"/>
        <w:jc w:val="both"/>
        <w:rPr>
          <w:rFonts w:asciiTheme="majorHAnsi" w:hAnsiTheme="majorHAnsi"/>
          <w:sz w:val="24"/>
          <w:szCs w:val="24"/>
          <w:lang w:eastAsia="en-AU"/>
        </w:rPr>
      </w:pPr>
      <w:r w:rsidRPr="00F5381D">
        <w:rPr>
          <w:rFonts w:asciiTheme="majorHAnsi" w:hAnsiTheme="majorHAnsi"/>
          <w:sz w:val="24"/>
          <w:szCs w:val="24"/>
          <w:lang w:eastAsia="en-AU"/>
        </w:rPr>
        <w:t>If a student has been physically restrained or secluded, the actions as described in the links below will be followed.  In summary, the actions are:</w:t>
      </w:r>
    </w:p>
    <w:p w:rsidR="009A05D9" w:rsidRPr="00F5381D" w:rsidRDefault="009A05D9" w:rsidP="00572F9D">
      <w:pPr>
        <w:pStyle w:val="NoSpacing"/>
        <w:numPr>
          <w:ilvl w:val="0"/>
          <w:numId w:val="8"/>
        </w:numPr>
        <w:ind w:firstLine="414"/>
        <w:jc w:val="both"/>
        <w:rPr>
          <w:rFonts w:asciiTheme="majorHAnsi" w:hAnsiTheme="majorHAnsi"/>
          <w:sz w:val="24"/>
          <w:szCs w:val="24"/>
          <w:lang w:eastAsia="en-AU"/>
        </w:rPr>
      </w:pPr>
      <w:r w:rsidRPr="00F5381D">
        <w:rPr>
          <w:rFonts w:asciiTheme="majorHAnsi" w:hAnsiTheme="majorHAnsi"/>
          <w:sz w:val="24"/>
          <w:szCs w:val="24"/>
          <w:lang w:eastAsia="en-AU"/>
        </w:rPr>
        <w:t>report the restraint or seclusion</w:t>
      </w:r>
    </w:p>
    <w:p w:rsidR="009A05D9" w:rsidRPr="00F5381D" w:rsidRDefault="009A05D9" w:rsidP="00572F9D">
      <w:pPr>
        <w:pStyle w:val="NoSpacing"/>
        <w:numPr>
          <w:ilvl w:val="0"/>
          <w:numId w:val="8"/>
        </w:numPr>
        <w:ind w:firstLine="414"/>
        <w:jc w:val="both"/>
        <w:rPr>
          <w:rFonts w:asciiTheme="majorHAnsi" w:hAnsiTheme="majorHAnsi"/>
          <w:sz w:val="24"/>
          <w:szCs w:val="24"/>
          <w:lang w:eastAsia="en-AU"/>
        </w:rPr>
      </w:pPr>
      <w:r w:rsidRPr="00F5381D">
        <w:rPr>
          <w:rFonts w:asciiTheme="majorHAnsi" w:hAnsiTheme="majorHAnsi"/>
          <w:sz w:val="24"/>
          <w:szCs w:val="24"/>
          <w:lang w:eastAsia="en-AU"/>
        </w:rPr>
        <w:t>provide support for those involved</w:t>
      </w:r>
    </w:p>
    <w:p w:rsidR="009A05D9" w:rsidRPr="00F5381D" w:rsidRDefault="009A05D9" w:rsidP="00572F9D">
      <w:pPr>
        <w:pStyle w:val="NoSpacing"/>
        <w:numPr>
          <w:ilvl w:val="0"/>
          <w:numId w:val="8"/>
        </w:numPr>
        <w:ind w:firstLine="414"/>
        <w:jc w:val="both"/>
        <w:rPr>
          <w:rFonts w:asciiTheme="majorHAnsi" w:hAnsiTheme="majorHAnsi"/>
          <w:sz w:val="24"/>
          <w:szCs w:val="24"/>
          <w:lang w:eastAsia="en-AU"/>
        </w:rPr>
      </w:pPr>
      <w:r w:rsidRPr="00F5381D">
        <w:rPr>
          <w:rFonts w:asciiTheme="majorHAnsi" w:hAnsiTheme="majorHAnsi"/>
          <w:sz w:val="24"/>
          <w:szCs w:val="24"/>
          <w:lang w:eastAsia="en-AU"/>
        </w:rPr>
        <w:t>maintain records of the incident</w:t>
      </w:r>
    </w:p>
    <w:p w:rsidR="009A05D9" w:rsidRPr="00F5381D" w:rsidRDefault="009A05D9" w:rsidP="00572F9D">
      <w:pPr>
        <w:pStyle w:val="NoSpacing"/>
        <w:numPr>
          <w:ilvl w:val="0"/>
          <w:numId w:val="8"/>
        </w:numPr>
        <w:ind w:firstLine="414"/>
        <w:jc w:val="both"/>
        <w:rPr>
          <w:rFonts w:asciiTheme="majorHAnsi" w:hAnsiTheme="majorHAnsi"/>
          <w:sz w:val="24"/>
          <w:szCs w:val="24"/>
          <w:lang w:eastAsia="en-AU"/>
        </w:rPr>
      </w:pPr>
      <w:proofErr w:type="gramStart"/>
      <w:r w:rsidRPr="00F5381D">
        <w:rPr>
          <w:rFonts w:asciiTheme="majorHAnsi" w:hAnsiTheme="majorHAnsi"/>
          <w:sz w:val="24"/>
          <w:szCs w:val="24"/>
          <w:lang w:eastAsia="en-AU"/>
        </w:rPr>
        <w:t>plan for the future</w:t>
      </w:r>
      <w:proofErr w:type="gramEnd"/>
    </w:p>
    <w:p w:rsidR="00107A58" w:rsidRPr="00F5381D" w:rsidRDefault="009A05D9" w:rsidP="00572F9D">
      <w:pPr>
        <w:pStyle w:val="NoSpacing"/>
        <w:numPr>
          <w:ilvl w:val="0"/>
          <w:numId w:val="11"/>
        </w:numPr>
        <w:ind w:left="993" w:hanging="851"/>
        <w:jc w:val="both"/>
        <w:rPr>
          <w:rFonts w:asciiTheme="majorHAnsi" w:hAnsiTheme="majorHAnsi"/>
          <w:sz w:val="24"/>
          <w:szCs w:val="24"/>
          <w:lang w:eastAsia="en-AU"/>
        </w:rPr>
      </w:pPr>
      <w:r w:rsidRPr="00F5381D">
        <w:rPr>
          <w:rFonts w:asciiTheme="majorHAnsi" w:hAnsiTheme="majorHAnsi"/>
          <w:sz w:val="24"/>
          <w:szCs w:val="24"/>
          <w:lang w:eastAsia="en-AU"/>
        </w:rPr>
        <w:t xml:space="preserve">For further information about the guidance and resources, </w:t>
      </w:r>
      <w:r w:rsidR="00107A58" w:rsidRPr="00F5381D">
        <w:rPr>
          <w:rFonts w:asciiTheme="majorHAnsi" w:hAnsiTheme="majorHAnsi"/>
          <w:sz w:val="24"/>
          <w:szCs w:val="24"/>
          <w:lang w:eastAsia="en-AU"/>
        </w:rPr>
        <w:t xml:space="preserve">the College will refer to the website below. </w:t>
      </w:r>
    </w:p>
    <w:p w:rsidR="009A05D9" w:rsidRPr="00F5381D" w:rsidRDefault="009A05D9" w:rsidP="00572F9D">
      <w:pPr>
        <w:pStyle w:val="NoSpacing"/>
        <w:numPr>
          <w:ilvl w:val="0"/>
          <w:numId w:val="11"/>
        </w:numPr>
        <w:ind w:left="993" w:hanging="851"/>
        <w:jc w:val="both"/>
        <w:rPr>
          <w:rFonts w:asciiTheme="majorHAnsi" w:hAnsiTheme="majorHAnsi"/>
          <w:sz w:val="24"/>
          <w:szCs w:val="24"/>
          <w:lang w:eastAsia="en-AU"/>
        </w:rPr>
      </w:pPr>
      <w:r w:rsidRPr="00F5381D">
        <w:rPr>
          <w:rFonts w:asciiTheme="majorHAnsi" w:hAnsiTheme="majorHAnsi"/>
          <w:sz w:val="24"/>
          <w:szCs w:val="24"/>
          <w:lang w:eastAsia="en-AU"/>
        </w:rPr>
        <w:t xml:space="preserve">Please refer also to the </w:t>
      </w:r>
      <w:r w:rsidRPr="00F5381D">
        <w:rPr>
          <w:rFonts w:asciiTheme="majorHAnsi" w:hAnsiTheme="majorHAnsi"/>
          <w:i/>
          <w:sz w:val="24"/>
          <w:szCs w:val="24"/>
          <w:lang w:eastAsia="en-AU"/>
        </w:rPr>
        <w:t>Child Safe Policy, Duty of Care Policy</w:t>
      </w:r>
      <w:r w:rsidRPr="00F5381D">
        <w:rPr>
          <w:rFonts w:asciiTheme="majorHAnsi" w:hAnsiTheme="majorHAnsi"/>
          <w:sz w:val="24"/>
          <w:szCs w:val="24"/>
          <w:lang w:eastAsia="en-AU"/>
        </w:rPr>
        <w:t xml:space="preserve">, the </w:t>
      </w:r>
      <w:r w:rsidRPr="00F5381D">
        <w:rPr>
          <w:rFonts w:asciiTheme="majorHAnsi" w:hAnsiTheme="majorHAnsi"/>
          <w:i/>
          <w:sz w:val="24"/>
          <w:szCs w:val="24"/>
          <w:lang w:eastAsia="en-AU"/>
        </w:rPr>
        <w:t>Accident Recording &amp; Reporting Policy, Emergency &amp; Incident Reporting Policy, Risk Management Policy</w:t>
      </w:r>
      <w:r w:rsidRPr="00F5381D">
        <w:rPr>
          <w:rFonts w:asciiTheme="majorHAnsi" w:hAnsiTheme="majorHAnsi"/>
          <w:sz w:val="24"/>
          <w:szCs w:val="24"/>
          <w:lang w:eastAsia="en-AU"/>
        </w:rPr>
        <w:t xml:space="preserve"> and the Student </w:t>
      </w:r>
      <w:r w:rsidRPr="00F5381D">
        <w:rPr>
          <w:rFonts w:asciiTheme="majorHAnsi" w:hAnsiTheme="majorHAnsi"/>
          <w:i/>
          <w:sz w:val="24"/>
          <w:szCs w:val="24"/>
          <w:lang w:eastAsia="en-AU"/>
        </w:rPr>
        <w:t>Engagement Policy</w:t>
      </w:r>
      <w:r w:rsidRPr="00F5381D">
        <w:rPr>
          <w:rFonts w:asciiTheme="majorHAnsi" w:hAnsiTheme="majorHAnsi"/>
          <w:sz w:val="24"/>
          <w:szCs w:val="24"/>
          <w:lang w:eastAsia="en-AU"/>
        </w:rPr>
        <w:t>.</w:t>
      </w:r>
    </w:p>
    <w:p w:rsidR="009A05D9" w:rsidRPr="00F5381D" w:rsidRDefault="009A05D9" w:rsidP="00F5381D">
      <w:pPr>
        <w:pStyle w:val="NoSpacing"/>
        <w:jc w:val="both"/>
        <w:rPr>
          <w:rFonts w:asciiTheme="majorHAnsi" w:hAnsiTheme="majorHAnsi"/>
          <w:i/>
          <w:sz w:val="24"/>
          <w:szCs w:val="24"/>
        </w:rPr>
      </w:pPr>
    </w:p>
    <w:p w:rsidR="00F5381D" w:rsidRDefault="009A05D9" w:rsidP="00F5381D">
      <w:pPr>
        <w:pStyle w:val="NoSpacing"/>
        <w:ind w:left="567" w:hanging="567"/>
        <w:jc w:val="both"/>
        <w:rPr>
          <w:rStyle w:val="SubtleReference"/>
        </w:rPr>
      </w:pPr>
      <w:r w:rsidRPr="00F5381D">
        <w:rPr>
          <w:rStyle w:val="SubtleReference"/>
        </w:rPr>
        <w:t>Evaluation</w:t>
      </w:r>
    </w:p>
    <w:p w:rsidR="00F5381D" w:rsidRDefault="009A05D9" w:rsidP="00F5381D">
      <w:pPr>
        <w:pStyle w:val="NoSpacing"/>
        <w:jc w:val="both"/>
        <w:rPr>
          <w:rFonts w:asciiTheme="majorHAnsi" w:hAnsiTheme="majorHAnsi"/>
          <w:sz w:val="24"/>
          <w:szCs w:val="24"/>
        </w:rPr>
      </w:pPr>
      <w:r w:rsidRPr="00F5381D">
        <w:rPr>
          <w:rFonts w:asciiTheme="majorHAnsi" w:hAnsiTheme="majorHAnsi"/>
          <w:sz w:val="24"/>
          <w:szCs w:val="24"/>
        </w:rPr>
        <w:t xml:space="preserve">This policy will be reviewed as part of the school’s three-year review cycle or if guidelines change (latest DET update late </w:t>
      </w:r>
      <w:r w:rsidR="00107A58" w:rsidRPr="00F5381D">
        <w:rPr>
          <w:rFonts w:asciiTheme="majorHAnsi" w:hAnsiTheme="majorHAnsi"/>
          <w:sz w:val="24"/>
          <w:szCs w:val="24"/>
        </w:rPr>
        <w:t>May 2017</w:t>
      </w:r>
      <w:r w:rsidRPr="00F5381D">
        <w:rPr>
          <w:rFonts w:asciiTheme="majorHAnsi" w:hAnsiTheme="majorHAnsi"/>
          <w:sz w:val="24"/>
          <w:szCs w:val="24"/>
        </w:rPr>
        <w:t xml:space="preserve">). </w:t>
      </w:r>
    </w:p>
    <w:p w:rsidR="00F5381D" w:rsidRDefault="00F5381D" w:rsidP="00F5381D">
      <w:pPr>
        <w:pStyle w:val="NoSpacing"/>
        <w:ind w:left="567" w:hanging="567"/>
        <w:jc w:val="both"/>
        <w:rPr>
          <w:rFonts w:asciiTheme="majorHAnsi" w:hAnsiTheme="majorHAnsi"/>
          <w:sz w:val="24"/>
          <w:szCs w:val="24"/>
        </w:rPr>
      </w:pPr>
    </w:p>
    <w:p w:rsidR="00F5381D" w:rsidRDefault="00F5381D" w:rsidP="00F5381D">
      <w:pPr>
        <w:pStyle w:val="NoSpacing"/>
        <w:ind w:left="567" w:hanging="567"/>
        <w:jc w:val="both"/>
        <w:rPr>
          <w:rStyle w:val="SubtleReference"/>
        </w:rPr>
      </w:pPr>
      <w:r>
        <w:rPr>
          <w:rStyle w:val="SubtleReference"/>
        </w:rPr>
        <w:t>Ratification</w:t>
      </w:r>
    </w:p>
    <w:p w:rsidR="009A05D9" w:rsidRPr="00F5381D" w:rsidRDefault="009A05D9" w:rsidP="00F5381D">
      <w:pPr>
        <w:pStyle w:val="NoSpacing"/>
        <w:ind w:left="567" w:hanging="567"/>
        <w:jc w:val="both"/>
        <w:rPr>
          <w:rFonts w:asciiTheme="majorHAnsi" w:hAnsiTheme="majorHAnsi"/>
          <w:smallCaps/>
          <w:sz w:val="24"/>
          <w:u w:val="single"/>
        </w:rPr>
      </w:pPr>
      <w:r w:rsidRPr="00F5381D">
        <w:rPr>
          <w:rFonts w:asciiTheme="majorHAnsi" w:hAnsiTheme="majorHAnsi"/>
          <w:sz w:val="24"/>
          <w:szCs w:val="24"/>
        </w:rPr>
        <w:t xml:space="preserve">This </w:t>
      </w:r>
      <w:r w:rsidR="00107A58" w:rsidRPr="00F5381D">
        <w:rPr>
          <w:rFonts w:asciiTheme="majorHAnsi" w:hAnsiTheme="majorHAnsi"/>
          <w:sz w:val="24"/>
          <w:szCs w:val="24"/>
        </w:rPr>
        <w:t>update</w:t>
      </w:r>
      <w:r w:rsidRPr="00F5381D">
        <w:rPr>
          <w:rFonts w:asciiTheme="majorHAnsi" w:hAnsiTheme="majorHAnsi"/>
          <w:sz w:val="24"/>
          <w:szCs w:val="24"/>
        </w:rPr>
        <w:t xml:space="preserve"> was ratified by </w:t>
      </w:r>
      <w:r w:rsidR="002E09B2" w:rsidRPr="00F5381D">
        <w:rPr>
          <w:rFonts w:asciiTheme="majorHAnsi" w:hAnsiTheme="majorHAnsi"/>
          <w:sz w:val="24"/>
          <w:szCs w:val="24"/>
        </w:rPr>
        <w:t xml:space="preserve">the </w:t>
      </w:r>
      <w:r w:rsidRPr="00F5381D">
        <w:rPr>
          <w:rFonts w:asciiTheme="majorHAnsi" w:hAnsiTheme="majorHAnsi"/>
          <w:sz w:val="24"/>
          <w:szCs w:val="24"/>
        </w:rPr>
        <w:t xml:space="preserve">College Council </w:t>
      </w:r>
      <w:r w:rsidR="002E09B2" w:rsidRPr="00F5381D">
        <w:rPr>
          <w:rFonts w:asciiTheme="majorHAnsi" w:hAnsiTheme="majorHAnsi"/>
          <w:sz w:val="24"/>
          <w:szCs w:val="24"/>
        </w:rPr>
        <w:t>o</w:t>
      </w:r>
      <w:r w:rsidRPr="00F5381D">
        <w:rPr>
          <w:rFonts w:asciiTheme="majorHAnsi" w:hAnsiTheme="majorHAnsi"/>
          <w:sz w:val="24"/>
          <w:szCs w:val="24"/>
        </w:rPr>
        <w:t xml:space="preserve">n </w:t>
      </w:r>
      <w:r w:rsidR="00F5381D">
        <w:rPr>
          <w:rFonts w:asciiTheme="majorHAnsi" w:hAnsiTheme="majorHAnsi"/>
          <w:sz w:val="24"/>
          <w:szCs w:val="24"/>
        </w:rPr>
        <w:t>15</w:t>
      </w:r>
      <w:r w:rsidR="00F5381D" w:rsidRPr="00F5381D">
        <w:rPr>
          <w:rFonts w:asciiTheme="majorHAnsi" w:hAnsiTheme="majorHAnsi"/>
          <w:sz w:val="24"/>
          <w:szCs w:val="24"/>
          <w:vertAlign w:val="superscript"/>
        </w:rPr>
        <w:t>th</w:t>
      </w:r>
      <w:r w:rsidR="00F5381D">
        <w:rPr>
          <w:rFonts w:asciiTheme="majorHAnsi" w:hAnsiTheme="majorHAnsi"/>
          <w:sz w:val="24"/>
          <w:szCs w:val="24"/>
        </w:rPr>
        <w:t xml:space="preserve"> </w:t>
      </w:r>
      <w:proofErr w:type="gramStart"/>
      <w:r w:rsidR="00F5381D">
        <w:rPr>
          <w:rFonts w:asciiTheme="majorHAnsi" w:hAnsiTheme="majorHAnsi"/>
          <w:sz w:val="24"/>
          <w:szCs w:val="24"/>
        </w:rPr>
        <w:t>February,</w:t>
      </w:r>
      <w:proofErr w:type="gramEnd"/>
      <w:r w:rsidR="00F5381D">
        <w:rPr>
          <w:rFonts w:asciiTheme="majorHAnsi" w:hAnsiTheme="majorHAnsi"/>
          <w:sz w:val="24"/>
          <w:szCs w:val="24"/>
        </w:rPr>
        <w:t xml:space="preserve"> 2018.</w:t>
      </w:r>
    </w:p>
    <w:p w:rsidR="00F5381D" w:rsidRPr="00F5381D" w:rsidRDefault="00F5381D" w:rsidP="00F5381D">
      <w:pPr>
        <w:jc w:val="both"/>
        <w:rPr>
          <w:sz w:val="21"/>
          <w:szCs w:val="21"/>
        </w:rPr>
      </w:pPr>
    </w:p>
    <w:p w:rsidR="00107A58" w:rsidRPr="00F5381D" w:rsidRDefault="00107A58" w:rsidP="00F5381D">
      <w:pPr>
        <w:pStyle w:val="NoSpacing"/>
        <w:ind w:left="567" w:hanging="567"/>
        <w:jc w:val="both"/>
        <w:rPr>
          <w:rStyle w:val="SubtleReference"/>
        </w:rPr>
      </w:pPr>
      <w:r w:rsidRPr="00F5381D">
        <w:rPr>
          <w:rStyle w:val="SubtleReference"/>
        </w:rPr>
        <w:t>References:</w:t>
      </w:r>
    </w:p>
    <w:p w:rsidR="00107A58" w:rsidRPr="00F5381D" w:rsidRDefault="00572F9D" w:rsidP="00572F9D">
      <w:pPr>
        <w:pStyle w:val="NoSpacing"/>
        <w:numPr>
          <w:ilvl w:val="0"/>
          <w:numId w:val="12"/>
        </w:numPr>
        <w:ind w:hanging="578"/>
        <w:jc w:val="both"/>
        <w:rPr>
          <w:rFonts w:asciiTheme="majorHAnsi" w:hAnsiTheme="majorHAnsi"/>
          <w:sz w:val="24"/>
          <w:szCs w:val="24"/>
        </w:rPr>
      </w:pPr>
      <w:hyperlink r:id="rId12" w:history="1">
        <w:r w:rsidR="00107A58" w:rsidRPr="00F5381D">
          <w:rPr>
            <w:rFonts w:asciiTheme="majorHAnsi" w:hAnsiTheme="majorHAnsi"/>
            <w:sz w:val="24"/>
            <w:szCs w:val="24"/>
          </w:rPr>
          <w:t>Restraint of Student, School Policy Advisory Guide​</w:t>
        </w:r>
      </w:hyperlink>
    </w:p>
    <w:p w:rsidR="00107A58" w:rsidRPr="00F5381D" w:rsidRDefault="00572F9D" w:rsidP="00572F9D">
      <w:pPr>
        <w:pStyle w:val="NoSpacing"/>
        <w:numPr>
          <w:ilvl w:val="0"/>
          <w:numId w:val="12"/>
        </w:numPr>
        <w:ind w:hanging="578"/>
        <w:jc w:val="both"/>
        <w:rPr>
          <w:rFonts w:asciiTheme="majorHAnsi" w:hAnsiTheme="majorHAnsi"/>
          <w:sz w:val="24"/>
          <w:szCs w:val="24"/>
        </w:rPr>
      </w:pPr>
      <w:hyperlink r:id="rId13" w:history="1">
        <w:r w:rsidR="00107A58" w:rsidRPr="00F5381D">
          <w:rPr>
            <w:rFonts w:asciiTheme="majorHAnsi" w:hAnsiTheme="majorHAnsi"/>
            <w:sz w:val="24"/>
            <w:szCs w:val="24"/>
          </w:rPr>
          <w:t>Responding to Violent and Dangerous Student Behaviours of Concern (the guidance)</w:t>
        </w:r>
      </w:hyperlink>
    </w:p>
    <w:p w:rsidR="00107A58" w:rsidRPr="00F5381D" w:rsidRDefault="00572F9D" w:rsidP="00572F9D">
      <w:pPr>
        <w:pStyle w:val="NoSpacing"/>
        <w:numPr>
          <w:ilvl w:val="0"/>
          <w:numId w:val="12"/>
        </w:numPr>
        <w:ind w:hanging="578"/>
        <w:jc w:val="both"/>
        <w:rPr>
          <w:rFonts w:asciiTheme="majorHAnsi" w:hAnsiTheme="majorHAnsi"/>
          <w:sz w:val="24"/>
          <w:szCs w:val="24"/>
        </w:rPr>
      </w:pPr>
      <w:hyperlink r:id="rId14" w:history="1">
        <w:r w:rsidR="00107A58" w:rsidRPr="00F5381D">
          <w:rPr>
            <w:rFonts w:asciiTheme="majorHAnsi" w:hAnsiTheme="majorHAnsi"/>
            <w:sz w:val="24"/>
            <w:szCs w:val="24"/>
          </w:rPr>
          <w:t xml:space="preserve">Guidance resources on </w:t>
        </w:r>
        <w:proofErr w:type="spellStart"/>
        <w:r w:rsidR="00107A58" w:rsidRPr="00F5381D">
          <w:rPr>
            <w:rFonts w:asciiTheme="majorHAnsi" w:hAnsiTheme="majorHAnsi"/>
            <w:sz w:val="24"/>
            <w:szCs w:val="24"/>
          </w:rPr>
          <w:t>EduGate</w:t>
        </w:r>
        <w:proofErr w:type="spellEnd"/>
        <w:r w:rsidR="00107A58" w:rsidRPr="00F5381D">
          <w:rPr>
            <w:rFonts w:asciiTheme="majorHAnsi" w:hAnsiTheme="majorHAnsi"/>
            <w:sz w:val="24"/>
            <w:szCs w:val="24"/>
          </w:rPr>
          <w:t>​</w:t>
        </w:r>
      </w:hyperlink>
    </w:p>
    <w:p w:rsidR="00107A58" w:rsidRPr="00F5381D" w:rsidRDefault="00572F9D" w:rsidP="00572F9D">
      <w:pPr>
        <w:pStyle w:val="NoSpacing"/>
        <w:numPr>
          <w:ilvl w:val="0"/>
          <w:numId w:val="12"/>
        </w:numPr>
        <w:ind w:hanging="578"/>
        <w:jc w:val="both"/>
        <w:rPr>
          <w:rFonts w:asciiTheme="majorHAnsi" w:hAnsiTheme="majorHAnsi"/>
          <w:sz w:val="24"/>
          <w:szCs w:val="24"/>
        </w:rPr>
      </w:pPr>
      <w:hyperlink r:id="rId15" w:history="1">
        <w:r w:rsidR="00107A58" w:rsidRPr="00F5381D">
          <w:rPr>
            <w:rFonts w:asciiTheme="majorHAnsi" w:hAnsiTheme="majorHAnsi"/>
            <w:sz w:val="24"/>
            <w:szCs w:val="24"/>
          </w:rPr>
          <w:t>Principal Practice Leader</w:t>
        </w:r>
      </w:hyperlink>
    </w:p>
    <w:p w:rsidR="00F5381D" w:rsidRPr="00F5381D" w:rsidRDefault="00572F9D" w:rsidP="00572F9D">
      <w:pPr>
        <w:pStyle w:val="NoSpacing"/>
        <w:numPr>
          <w:ilvl w:val="0"/>
          <w:numId w:val="12"/>
        </w:numPr>
        <w:ind w:hanging="578"/>
        <w:jc w:val="both"/>
        <w:rPr>
          <w:rFonts w:asciiTheme="majorHAnsi" w:hAnsiTheme="majorHAnsi"/>
          <w:sz w:val="24"/>
          <w:szCs w:val="24"/>
        </w:rPr>
      </w:pPr>
      <w:hyperlink r:id="rId16" w:history="1">
        <w:r w:rsidR="00107A58" w:rsidRPr="00F5381D">
          <w:rPr>
            <w:rFonts w:asciiTheme="majorHAnsi" w:hAnsiTheme="majorHAnsi"/>
            <w:sz w:val="24"/>
            <w:szCs w:val="24"/>
          </w:rPr>
          <w:t>www.education.vic.gov.au/school/principals/spag/governance/Pages/restraint.aspx</w:t>
        </w:r>
      </w:hyperlink>
    </w:p>
    <w:sectPr w:rsidR="00F5381D" w:rsidRPr="00F5381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F9D" w:rsidRDefault="00572F9D" w:rsidP="00B26C00">
      <w:pPr>
        <w:spacing w:after="0" w:line="240" w:lineRule="auto"/>
      </w:pPr>
      <w:r>
        <w:separator/>
      </w:r>
    </w:p>
  </w:endnote>
  <w:endnote w:type="continuationSeparator" w:id="0">
    <w:p w:rsidR="00572F9D" w:rsidRDefault="00572F9D" w:rsidP="00B2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E1F" w:rsidRDefault="00557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28105"/>
      <w:docPartObj>
        <w:docPartGallery w:val="Page Numbers (Bottom of Page)"/>
        <w:docPartUnique/>
      </w:docPartObj>
    </w:sdtPr>
    <w:sdtEndPr>
      <w:rPr>
        <w:noProof/>
      </w:rPr>
    </w:sdtEndPr>
    <w:sdtContent>
      <w:p w:rsidR="00B26C00" w:rsidRDefault="00B26C00" w:rsidP="00557E1F">
        <w:pPr>
          <w:pStyle w:val="Footer"/>
          <w:jc w:val="center"/>
        </w:pPr>
        <w:r>
          <w:fldChar w:fldCharType="begin"/>
        </w:r>
        <w:r>
          <w:instrText xml:space="preserve"> PAGE   \* MERGEFORMAT </w:instrText>
        </w:r>
        <w:r>
          <w:fldChar w:fldCharType="separate"/>
        </w:r>
        <w:r w:rsidR="00557E1F">
          <w:rPr>
            <w:noProof/>
          </w:rPr>
          <w:t>4</w:t>
        </w:r>
        <w:r>
          <w:rPr>
            <w:noProof/>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E1F" w:rsidRDefault="00557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F9D" w:rsidRDefault="00572F9D" w:rsidP="00B26C00">
      <w:pPr>
        <w:spacing w:after="0" w:line="240" w:lineRule="auto"/>
      </w:pPr>
      <w:r>
        <w:separator/>
      </w:r>
    </w:p>
  </w:footnote>
  <w:footnote w:type="continuationSeparator" w:id="0">
    <w:p w:rsidR="00572F9D" w:rsidRDefault="00572F9D" w:rsidP="00B2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E1F" w:rsidRDefault="00557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6"/>
      <w:gridCol w:w="2372"/>
    </w:tblGrid>
    <w:tr w:rsidR="00B26C00" w:rsidRPr="006F4BA7" w:rsidTr="00F5381D">
      <w:trPr>
        <w:trHeight w:val="1975"/>
      </w:trPr>
      <w:tc>
        <w:tcPr>
          <w:tcW w:w="6946" w:type="dxa"/>
          <w:shd w:val="clear" w:color="auto" w:fill="auto"/>
          <w:vAlign w:val="center"/>
        </w:tcPr>
        <w:p w:rsidR="00B26C00" w:rsidRPr="00B26C00" w:rsidRDefault="00B26C00" w:rsidP="00F5381D">
          <w:pPr>
            <w:tabs>
              <w:tab w:val="left" w:pos="2055"/>
            </w:tabs>
            <w:jc w:val="center"/>
          </w:pPr>
          <w:r w:rsidRPr="00F5381D">
            <w:rPr>
              <w:rFonts w:asciiTheme="majorHAnsi" w:hAnsiTheme="majorHAnsi"/>
              <w:sz w:val="36"/>
            </w:rPr>
            <w:t>RESPONDING TO VIOLENT &amp; DANGEROUS STUDENT BEHAVIOUR OF CONCERN POLICY</w:t>
          </w:r>
        </w:p>
      </w:tc>
      <w:tc>
        <w:tcPr>
          <w:tcW w:w="2574" w:type="dxa"/>
          <w:shd w:val="clear" w:color="auto" w:fill="auto"/>
        </w:tcPr>
        <w:p w:rsidR="00B26C00" w:rsidRPr="006F4BA7" w:rsidRDefault="00B26C00" w:rsidP="00B26C00">
          <w:pPr>
            <w:jc w:val="both"/>
            <w:rPr>
              <w:rFonts w:ascii="Cambria" w:hAnsi="Cambria"/>
              <w:color w:val="000000"/>
            </w:rPr>
          </w:pPr>
          <w:r w:rsidRPr="006F4BA7">
            <w:rPr>
              <w:rFonts w:ascii="Cambria" w:hAnsi="Cambria"/>
              <w:noProof/>
              <w:color w:val="000000"/>
              <w:lang w:eastAsia="en-AU"/>
            </w:rPr>
            <w:drawing>
              <wp:anchor distT="0" distB="0" distL="114300" distR="114300" simplePos="0" relativeHeight="251659264" behindDoc="0" locked="0" layoutInCell="1" allowOverlap="1" wp14:anchorId="5D15CE12" wp14:editId="288F6467">
                <wp:simplePos x="0" y="0"/>
                <wp:positionH relativeFrom="column">
                  <wp:posOffset>222885</wp:posOffset>
                </wp:positionH>
                <wp:positionV relativeFrom="paragraph">
                  <wp:posOffset>46355</wp:posOffset>
                </wp:positionV>
                <wp:extent cx="1040765" cy="1143635"/>
                <wp:effectExtent l="0" t="0" r="698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0765" cy="1143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26C00" w:rsidRDefault="00B26C00" w:rsidP="00B26C00">
    <w:pPr>
      <w:tabs>
        <w:tab w:val="left" w:pos="480"/>
        <w:tab w:val="left" w:pos="274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E1F" w:rsidRDefault="00557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0AFA"/>
    <w:multiLevelType w:val="hybridMultilevel"/>
    <w:tmpl w:val="85A48BC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8528CC"/>
    <w:multiLevelType w:val="hybridMultilevel"/>
    <w:tmpl w:val="88FA57B4"/>
    <w:lvl w:ilvl="0" w:tplc="73FE762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1F975A8"/>
    <w:multiLevelType w:val="hybridMultilevel"/>
    <w:tmpl w:val="FAC26B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017570"/>
    <w:multiLevelType w:val="hybridMultilevel"/>
    <w:tmpl w:val="3A9CEB92"/>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4B6E87"/>
    <w:multiLevelType w:val="hybridMultilevel"/>
    <w:tmpl w:val="F790D5A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E0085E"/>
    <w:multiLevelType w:val="hybridMultilevel"/>
    <w:tmpl w:val="6AB4F5DC"/>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DF3196"/>
    <w:multiLevelType w:val="hybridMultilevel"/>
    <w:tmpl w:val="15A6CC1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307ED0"/>
    <w:multiLevelType w:val="hybridMultilevel"/>
    <w:tmpl w:val="7DE4FE7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7B29DA"/>
    <w:multiLevelType w:val="hybridMultilevel"/>
    <w:tmpl w:val="9CD4079E"/>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12DE9"/>
    <w:multiLevelType w:val="hybridMultilevel"/>
    <w:tmpl w:val="1824843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995BB5"/>
    <w:multiLevelType w:val="hybridMultilevel"/>
    <w:tmpl w:val="CEC4C5DC"/>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582022"/>
    <w:multiLevelType w:val="hybridMultilevel"/>
    <w:tmpl w:val="D374CA76"/>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5"/>
  </w:num>
  <w:num w:numId="5">
    <w:abstractNumId w:val="7"/>
  </w:num>
  <w:num w:numId="6">
    <w:abstractNumId w:val="0"/>
  </w:num>
  <w:num w:numId="7">
    <w:abstractNumId w:val="2"/>
  </w:num>
  <w:num w:numId="8">
    <w:abstractNumId w:val="6"/>
  </w:num>
  <w:num w:numId="9">
    <w:abstractNumId w:val="11"/>
  </w:num>
  <w:num w:numId="10">
    <w:abstractNumId w:val="1"/>
  </w:num>
  <w:num w:numId="11">
    <w:abstractNumId w:val="10"/>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11D29"/>
    <w:rsid w:val="00037C3A"/>
    <w:rsid w:val="0005454C"/>
    <w:rsid w:val="0006723E"/>
    <w:rsid w:val="00091DD9"/>
    <w:rsid w:val="00107A58"/>
    <w:rsid w:val="00135515"/>
    <w:rsid w:val="00152872"/>
    <w:rsid w:val="001D6C99"/>
    <w:rsid w:val="002C7F9C"/>
    <w:rsid w:val="002E09B2"/>
    <w:rsid w:val="002E46DB"/>
    <w:rsid w:val="00365E49"/>
    <w:rsid w:val="00391DEB"/>
    <w:rsid w:val="003A073E"/>
    <w:rsid w:val="003C0605"/>
    <w:rsid w:val="003D6325"/>
    <w:rsid w:val="003D6A22"/>
    <w:rsid w:val="00443FDE"/>
    <w:rsid w:val="004936BB"/>
    <w:rsid w:val="004E2683"/>
    <w:rsid w:val="00507E01"/>
    <w:rsid w:val="00557E1F"/>
    <w:rsid w:val="00572F9D"/>
    <w:rsid w:val="005B26D5"/>
    <w:rsid w:val="005E3B6A"/>
    <w:rsid w:val="00610B65"/>
    <w:rsid w:val="006342C1"/>
    <w:rsid w:val="006B42AD"/>
    <w:rsid w:val="00705674"/>
    <w:rsid w:val="00722273"/>
    <w:rsid w:val="007A3168"/>
    <w:rsid w:val="007C35C5"/>
    <w:rsid w:val="008001EE"/>
    <w:rsid w:val="0084352F"/>
    <w:rsid w:val="008F2796"/>
    <w:rsid w:val="00912DA4"/>
    <w:rsid w:val="00992440"/>
    <w:rsid w:val="009A05D9"/>
    <w:rsid w:val="009C5C9A"/>
    <w:rsid w:val="00A166BE"/>
    <w:rsid w:val="00A370AD"/>
    <w:rsid w:val="00A619F3"/>
    <w:rsid w:val="00A706DA"/>
    <w:rsid w:val="00A97010"/>
    <w:rsid w:val="00AD4A04"/>
    <w:rsid w:val="00B26C00"/>
    <w:rsid w:val="00B32355"/>
    <w:rsid w:val="00BE2EA6"/>
    <w:rsid w:val="00BE60AE"/>
    <w:rsid w:val="00C14022"/>
    <w:rsid w:val="00CB57F6"/>
    <w:rsid w:val="00CC7297"/>
    <w:rsid w:val="00D02305"/>
    <w:rsid w:val="00D42A2E"/>
    <w:rsid w:val="00D66982"/>
    <w:rsid w:val="00DA50C5"/>
    <w:rsid w:val="00DB36B6"/>
    <w:rsid w:val="00DC0D2B"/>
    <w:rsid w:val="00DC79AA"/>
    <w:rsid w:val="00DD0BCB"/>
    <w:rsid w:val="00DE7A12"/>
    <w:rsid w:val="00E0775F"/>
    <w:rsid w:val="00E92890"/>
    <w:rsid w:val="00F320CA"/>
    <w:rsid w:val="00F405D3"/>
    <w:rsid w:val="00F5381D"/>
    <w:rsid w:val="00F82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FC3D7"/>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link w:val="NoSpacingChar"/>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character" w:customStyle="1" w:styleId="NoSpacingChar">
    <w:name w:val="No Spacing Char"/>
    <w:link w:val="NoSpacing"/>
    <w:uiPriority w:val="1"/>
    <w:rsid w:val="00107A58"/>
  </w:style>
  <w:style w:type="paragraph" w:styleId="Footer">
    <w:name w:val="footer"/>
    <w:basedOn w:val="Normal"/>
    <w:link w:val="FooterChar"/>
    <w:uiPriority w:val="99"/>
    <w:unhideWhenUsed/>
    <w:rsid w:val="00B2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C00"/>
  </w:style>
  <w:style w:type="paragraph" w:customStyle="1" w:styleId="DHHSbody">
    <w:name w:val="DHHS body"/>
    <w:qFormat/>
    <w:rsid w:val="00B26C00"/>
    <w:pPr>
      <w:spacing w:after="120" w:line="270" w:lineRule="atLeast"/>
    </w:pPr>
    <w:rPr>
      <w:rFonts w:ascii="Arial" w:eastAsia="Times" w:hAnsi="Arial" w:cs="Times New Roman"/>
      <w:sz w:val="20"/>
      <w:szCs w:val="20"/>
    </w:rPr>
  </w:style>
  <w:style w:type="character" w:styleId="SubtleReference">
    <w:name w:val="Subtle Reference"/>
    <w:basedOn w:val="DefaultParagraphFont"/>
    <w:uiPriority w:val="31"/>
    <w:qFormat/>
    <w:rsid w:val="00B26C00"/>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vic.gov.au/school/principals/participation/Pages/behaviourofconcern.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education.vic.gov.au/school/principals/spag/governance/Pages/restraint.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ucation.vic.gov.au/school/principals/spag/governance/Pages/restraint.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participation/Pages/behaviourofconcern.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education.vic.gov.au/about/department/Pages/seniorpractitioner.aspx%E2%80%8B" TargetMode="External"/><Relationship Id="rId23" Type="http://schemas.openxmlformats.org/officeDocument/2006/relationships/fontTable" Target="fontTable.xml"/><Relationship Id="rId10" Type="http://schemas.openxmlformats.org/officeDocument/2006/relationships/hyperlink" Target="http://www.education.vic.gov.au/school/principals/participation/Pages/behaviourofconcern.asp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gate.eduweb.vic.gov.au/collaboration/attendanceengagementparentbehaviour/vadb/Pages/Home.aspx"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45927-B0CD-4A48-A98B-F0E517AA5E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2907C4-B359-40CE-B1ED-151B1561A8D2}">
  <ds:schemaRefs>
    <ds:schemaRef ds:uri="http://schemas.microsoft.com/sharepoint/v3/contenttype/forms"/>
  </ds:schemaRefs>
</ds:datastoreItem>
</file>

<file path=customXml/itemProps3.xml><?xml version="1.0" encoding="utf-8"?>
<ds:datastoreItem xmlns:ds="http://schemas.openxmlformats.org/officeDocument/2006/customXml" ds:itemID="{BC903BB7-120D-43A5-8889-9EB60F665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8</cp:revision>
  <dcterms:created xsi:type="dcterms:W3CDTF">2017-06-14T04:56:00Z</dcterms:created>
  <dcterms:modified xsi:type="dcterms:W3CDTF">2018-01-01T07:33:00Z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