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5F5" w:rsidRPr="001B4811" w:rsidRDefault="007625F5" w:rsidP="00010152">
      <w:pPr>
        <w:ind w:left="567" w:firstLine="284"/>
        <w:jc w:val="center"/>
        <w:rPr>
          <w:rFonts w:asciiTheme="majorHAnsi" w:hAnsiTheme="majorHAnsi"/>
          <w:i/>
          <w:color w:val="2E74B5" w:themeColor="accent1" w:themeShade="BF"/>
          <w:sz w:val="24"/>
          <w:szCs w:val="24"/>
        </w:rPr>
      </w:pPr>
      <w:r w:rsidRPr="001B4811">
        <w:rPr>
          <w:rFonts w:asciiTheme="majorHAnsi" w:hAnsiTheme="majorHAnsi"/>
          <w:i/>
          <w:color w:val="2E74B5" w:themeColor="accent1" w:themeShade="BF"/>
          <w:sz w:val="24"/>
          <w:szCs w:val="24"/>
        </w:rPr>
        <w:t xml:space="preserve">Charles La Trobe P-12 College takes a zero-tolerance approach to child abuse and is fully committed to ensuring that its strategies, policies, procedures and practices meet all </w:t>
      </w:r>
      <w:r w:rsidRPr="001B4811">
        <w:rPr>
          <w:rFonts w:asciiTheme="majorHAnsi" w:hAnsiTheme="majorHAnsi"/>
          <w:b/>
          <w:i/>
          <w:color w:val="2E74B5" w:themeColor="accent1" w:themeShade="BF"/>
          <w:sz w:val="24"/>
          <w:szCs w:val="24"/>
        </w:rPr>
        <w:t>Child Safety Standards as specified in Ministerial Order No. 870 (2015).</w:t>
      </w:r>
    </w:p>
    <w:p w:rsidR="00EC06C9" w:rsidRPr="001B4811" w:rsidRDefault="007625F5" w:rsidP="00010152">
      <w:pPr>
        <w:pStyle w:val="NoSpacing"/>
        <w:jc w:val="both"/>
        <w:rPr>
          <w:rStyle w:val="SubtleReference"/>
        </w:rPr>
      </w:pPr>
      <w:r w:rsidRPr="001B4811">
        <w:rPr>
          <w:rStyle w:val="SubtleReference"/>
        </w:rPr>
        <w:t>R</w:t>
      </w:r>
      <w:r w:rsidR="00EC06C9" w:rsidRPr="001B4811">
        <w:rPr>
          <w:rStyle w:val="SubtleReference"/>
        </w:rPr>
        <w:t>ationale</w:t>
      </w:r>
    </w:p>
    <w:p w:rsidR="001B4811" w:rsidRDefault="00EC06C9" w:rsidP="00010152">
      <w:pPr>
        <w:pStyle w:val="NoSpacing"/>
        <w:numPr>
          <w:ilvl w:val="0"/>
          <w:numId w:val="31"/>
        </w:numPr>
        <w:jc w:val="both"/>
        <w:rPr>
          <w:rFonts w:asciiTheme="majorHAnsi" w:hAnsiTheme="majorHAnsi"/>
          <w:sz w:val="24"/>
          <w:szCs w:val="24"/>
          <w:lang w:eastAsia="en-AU"/>
        </w:rPr>
      </w:pPr>
      <w:r w:rsidRPr="001B4811">
        <w:rPr>
          <w:rFonts w:asciiTheme="majorHAnsi" w:hAnsiTheme="majorHAnsi"/>
          <w:sz w:val="24"/>
          <w:szCs w:val="24"/>
          <w:lang w:eastAsia="en-AU"/>
        </w:rPr>
        <w:t>A situation that may be defined as a medical emergency includes loss of consciousness even briefly, serious bleeding, broken bones or an asthma attack that does not respond to medication.</w:t>
      </w:r>
    </w:p>
    <w:p w:rsidR="00EC06C9" w:rsidRPr="001B4811" w:rsidRDefault="00EC06C9" w:rsidP="00010152">
      <w:pPr>
        <w:pStyle w:val="NoSpacing"/>
        <w:numPr>
          <w:ilvl w:val="0"/>
          <w:numId w:val="31"/>
        </w:numPr>
        <w:jc w:val="both"/>
        <w:rPr>
          <w:rFonts w:asciiTheme="majorHAnsi" w:hAnsiTheme="majorHAnsi"/>
          <w:sz w:val="24"/>
          <w:szCs w:val="24"/>
          <w:lang w:eastAsia="en-AU"/>
        </w:rPr>
      </w:pPr>
      <w:r w:rsidRPr="001B4811">
        <w:rPr>
          <w:rFonts w:asciiTheme="majorHAnsi" w:hAnsiTheme="majorHAnsi"/>
          <w:sz w:val="24"/>
          <w:szCs w:val="24"/>
          <w:lang w:eastAsia="en-AU"/>
        </w:rPr>
        <w:t xml:space="preserve">The school must act immediately, with or without parental consent or if the parent or the </w:t>
      </w:r>
      <w:r w:rsidR="006A28B4" w:rsidRPr="001B4811">
        <w:rPr>
          <w:rFonts w:asciiTheme="majorHAnsi" w:hAnsiTheme="majorHAnsi"/>
          <w:sz w:val="24"/>
          <w:szCs w:val="24"/>
          <w:lang w:eastAsia="en-AU"/>
        </w:rPr>
        <w:t>child</w:t>
      </w:r>
      <w:r w:rsidRPr="001B4811">
        <w:rPr>
          <w:rFonts w:asciiTheme="majorHAnsi" w:hAnsiTheme="majorHAnsi"/>
          <w:sz w:val="24"/>
          <w:szCs w:val="24"/>
          <w:lang w:eastAsia="en-AU"/>
        </w:rPr>
        <w:t xml:space="preserve">’s designated emergency contact delays collecting the </w:t>
      </w:r>
      <w:r w:rsidR="006A28B4" w:rsidRPr="001B4811">
        <w:rPr>
          <w:rFonts w:asciiTheme="majorHAnsi" w:hAnsiTheme="majorHAnsi"/>
          <w:sz w:val="24"/>
          <w:szCs w:val="24"/>
          <w:lang w:eastAsia="en-AU"/>
        </w:rPr>
        <w:t>child</w:t>
      </w:r>
      <w:r w:rsidRPr="001B4811">
        <w:rPr>
          <w:rFonts w:asciiTheme="majorHAnsi" w:hAnsiTheme="majorHAnsi"/>
          <w:sz w:val="24"/>
          <w:szCs w:val="24"/>
          <w:lang w:eastAsia="en-AU"/>
        </w:rPr>
        <w:t>.</w:t>
      </w:r>
    </w:p>
    <w:p w:rsidR="00EC06C9" w:rsidRPr="001B4811" w:rsidRDefault="00EC06C9" w:rsidP="00010152">
      <w:pPr>
        <w:pStyle w:val="NoSpacing"/>
        <w:jc w:val="both"/>
        <w:rPr>
          <w:rFonts w:asciiTheme="majorHAnsi" w:hAnsiTheme="majorHAnsi"/>
          <w:sz w:val="24"/>
          <w:szCs w:val="24"/>
          <w:lang w:eastAsia="en-AU"/>
        </w:rPr>
      </w:pPr>
    </w:p>
    <w:p w:rsidR="00EC06C9" w:rsidRPr="001B4811" w:rsidRDefault="00EC06C9" w:rsidP="00010152">
      <w:pPr>
        <w:pStyle w:val="NoSpacing"/>
        <w:jc w:val="both"/>
        <w:rPr>
          <w:rStyle w:val="SubtleReference"/>
        </w:rPr>
      </w:pPr>
      <w:r w:rsidRPr="001B4811">
        <w:rPr>
          <w:rStyle w:val="SubtleReference"/>
        </w:rPr>
        <w:t>Purpose</w:t>
      </w:r>
    </w:p>
    <w:p w:rsidR="00EC06C9" w:rsidRPr="001B4811" w:rsidRDefault="00EC06C9" w:rsidP="00010152">
      <w:pPr>
        <w:pStyle w:val="NoSpacing"/>
        <w:numPr>
          <w:ilvl w:val="0"/>
          <w:numId w:val="27"/>
        </w:numPr>
        <w:jc w:val="both"/>
        <w:rPr>
          <w:rFonts w:asciiTheme="majorHAnsi" w:hAnsiTheme="majorHAnsi"/>
          <w:sz w:val="24"/>
          <w:szCs w:val="24"/>
        </w:rPr>
      </w:pPr>
      <w:r w:rsidRPr="001B4811">
        <w:rPr>
          <w:rFonts w:asciiTheme="majorHAnsi" w:hAnsiTheme="majorHAnsi"/>
          <w:sz w:val="24"/>
          <w:szCs w:val="24"/>
        </w:rPr>
        <w:t xml:space="preserve">To ensure </w:t>
      </w:r>
      <w:r w:rsidR="007625F5" w:rsidRPr="001B4811">
        <w:rPr>
          <w:rFonts w:asciiTheme="majorHAnsi" w:hAnsiTheme="majorHAnsi"/>
          <w:sz w:val="24"/>
          <w:szCs w:val="24"/>
        </w:rPr>
        <w:t>Charles La Trobe College</w:t>
      </w:r>
      <w:r w:rsidRPr="001B4811">
        <w:rPr>
          <w:rFonts w:asciiTheme="majorHAnsi" w:hAnsiTheme="majorHAnsi"/>
          <w:sz w:val="24"/>
          <w:szCs w:val="24"/>
        </w:rPr>
        <w:t xml:space="preserve"> responds appropriately to emergency medical situations.</w:t>
      </w:r>
    </w:p>
    <w:p w:rsidR="00EC06C9" w:rsidRPr="001B4811" w:rsidRDefault="00EC06C9" w:rsidP="00010152">
      <w:pPr>
        <w:pStyle w:val="NoSpacing"/>
        <w:numPr>
          <w:ilvl w:val="0"/>
          <w:numId w:val="27"/>
        </w:numPr>
        <w:jc w:val="both"/>
        <w:rPr>
          <w:rFonts w:asciiTheme="majorHAnsi" w:hAnsiTheme="majorHAnsi"/>
          <w:sz w:val="24"/>
          <w:szCs w:val="24"/>
        </w:rPr>
      </w:pPr>
      <w:r w:rsidRPr="001B4811">
        <w:rPr>
          <w:rFonts w:asciiTheme="majorHAnsi" w:hAnsiTheme="majorHAnsi"/>
          <w:sz w:val="24"/>
          <w:szCs w:val="24"/>
        </w:rPr>
        <w:t>To ensure the school complies with DET policy and guidelines.</w:t>
      </w:r>
    </w:p>
    <w:p w:rsidR="006A28B4" w:rsidRPr="001B4811" w:rsidRDefault="006A28B4" w:rsidP="00010152">
      <w:pPr>
        <w:pStyle w:val="NoSpacing"/>
        <w:numPr>
          <w:ilvl w:val="0"/>
          <w:numId w:val="27"/>
        </w:numPr>
        <w:jc w:val="both"/>
        <w:rPr>
          <w:rFonts w:asciiTheme="majorHAnsi" w:hAnsiTheme="majorHAnsi"/>
          <w:sz w:val="24"/>
          <w:szCs w:val="24"/>
        </w:rPr>
      </w:pPr>
      <w:r w:rsidRPr="001B4811">
        <w:rPr>
          <w:rFonts w:asciiTheme="majorHAnsi" w:hAnsiTheme="majorHAnsi"/>
          <w:sz w:val="24"/>
          <w:szCs w:val="24"/>
        </w:rPr>
        <w:t xml:space="preserve">To ensure the College </w:t>
      </w:r>
      <w:r w:rsidR="007625F5" w:rsidRPr="001B4811">
        <w:rPr>
          <w:rFonts w:asciiTheme="majorHAnsi" w:hAnsiTheme="majorHAnsi"/>
          <w:sz w:val="24"/>
          <w:szCs w:val="24"/>
        </w:rPr>
        <w:t>has strategies in place to support</w:t>
      </w:r>
      <w:r w:rsidRPr="001B4811">
        <w:rPr>
          <w:rFonts w:asciiTheme="majorHAnsi" w:hAnsiTheme="majorHAnsi"/>
          <w:sz w:val="24"/>
          <w:szCs w:val="24"/>
        </w:rPr>
        <w:t xml:space="preserve"> the Child Safe Standards 1 and 2.</w:t>
      </w:r>
    </w:p>
    <w:p w:rsidR="00EC06C9" w:rsidRPr="001B4811" w:rsidRDefault="00EC06C9" w:rsidP="00010152">
      <w:pPr>
        <w:ind w:left="1134" w:hanging="850"/>
        <w:jc w:val="both"/>
        <w:rPr>
          <w:rFonts w:asciiTheme="majorHAnsi" w:hAnsiTheme="majorHAnsi"/>
          <w:sz w:val="24"/>
          <w:szCs w:val="24"/>
        </w:rPr>
      </w:pPr>
    </w:p>
    <w:p w:rsidR="00EC06C9" w:rsidRPr="001B4811" w:rsidRDefault="00EC06C9" w:rsidP="00010152">
      <w:pPr>
        <w:pStyle w:val="ListParagraph"/>
        <w:ind w:left="502" w:hanging="502"/>
        <w:jc w:val="both"/>
        <w:rPr>
          <w:rStyle w:val="SubtleReference"/>
        </w:rPr>
      </w:pPr>
      <w:r w:rsidRPr="001B4811">
        <w:rPr>
          <w:rStyle w:val="SubtleReference"/>
        </w:rPr>
        <w:t>Implementation</w:t>
      </w:r>
    </w:p>
    <w:p w:rsidR="006A28B4" w:rsidRPr="001B4811" w:rsidRDefault="006A28B4" w:rsidP="00010152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Theme="majorHAnsi" w:hAnsiTheme="majorHAnsi"/>
          <w:color w:val="000000"/>
          <w:sz w:val="24"/>
          <w:szCs w:val="24"/>
        </w:rPr>
      </w:pPr>
      <w:r w:rsidRPr="001B4811">
        <w:rPr>
          <w:rFonts w:asciiTheme="majorHAnsi" w:hAnsiTheme="majorHAnsi"/>
          <w:sz w:val="24"/>
          <w:szCs w:val="24"/>
        </w:rPr>
        <w:t>The safety and wellbeing of children is the highest priority for the College.</w:t>
      </w:r>
    </w:p>
    <w:p w:rsidR="00EC06C9" w:rsidRPr="001B4811" w:rsidRDefault="00EC06C9" w:rsidP="00010152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Theme="majorHAnsi" w:hAnsiTheme="majorHAnsi"/>
          <w:color w:val="000000"/>
          <w:sz w:val="24"/>
          <w:szCs w:val="24"/>
        </w:rPr>
      </w:pPr>
      <w:r w:rsidRPr="001B4811">
        <w:rPr>
          <w:rFonts w:asciiTheme="majorHAnsi" w:hAnsiTheme="majorHAnsi"/>
          <w:color w:val="000000"/>
          <w:sz w:val="24"/>
          <w:szCs w:val="24"/>
        </w:rPr>
        <w:t xml:space="preserve">In </w:t>
      </w:r>
      <w:proofErr w:type="gramStart"/>
      <w:r w:rsidRPr="001B4811">
        <w:rPr>
          <w:rFonts w:asciiTheme="majorHAnsi" w:hAnsiTheme="majorHAnsi"/>
          <w:color w:val="000000"/>
          <w:sz w:val="24"/>
          <w:szCs w:val="24"/>
        </w:rPr>
        <w:t>an emergency situation</w:t>
      </w:r>
      <w:proofErr w:type="gramEnd"/>
      <w:r w:rsidRPr="001B4811">
        <w:rPr>
          <w:rFonts w:asciiTheme="majorHAnsi" w:hAnsiTheme="majorHAnsi"/>
          <w:color w:val="000000"/>
          <w:sz w:val="24"/>
          <w:szCs w:val="24"/>
        </w:rPr>
        <w:t xml:space="preserve"> staff firstly will render first aid and make the injured person as comfortable as possible.</w:t>
      </w:r>
    </w:p>
    <w:p w:rsidR="00EC06C9" w:rsidRPr="001B4811" w:rsidRDefault="00EC06C9" w:rsidP="00010152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Theme="majorHAnsi" w:hAnsiTheme="majorHAnsi"/>
          <w:color w:val="000000"/>
          <w:sz w:val="24"/>
          <w:szCs w:val="24"/>
        </w:rPr>
      </w:pPr>
      <w:r w:rsidRPr="001B4811">
        <w:rPr>
          <w:rFonts w:asciiTheme="majorHAnsi" w:hAnsiTheme="majorHAnsi"/>
          <w:color w:val="000000"/>
          <w:sz w:val="24"/>
          <w:szCs w:val="24"/>
        </w:rPr>
        <w:t>Staff are expected to be familiar with the College’s emergency procedures including those related to excursions.</w:t>
      </w:r>
    </w:p>
    <w:p w:rsidR="00EC06C9" w:rsidRPr="001B4811" w:rsidRDefault="00EC06C9" w:rsidP="00010152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Theme="majorHAnsi" w:hAnsiTheme="majorHAnsi"/>
          <w:color w:val="000000"/>
          <w:sz w:val="24"/>
          <w:szCs w:val="24"/>
        </w:rPr>
      </w:pPr>
      <w:r w:rsidRPr="001B4811">
        <w:rPr>
          <w:rFonts w:asciiTheme="majorHAnsi" w:hAnsiTheme="majorHAnsi"/>
          <w:color w:val="000000"/>
          <w:sz w:val="24"/>
          <w:szCs w:val="24"/>
        </w:rPr>
        <w:t xml:space="preserve">Other </w:t>
      </w:r>
      <w:r w:rsidRPr="001B4811">
        <w:rPr>
          <w:rFonts w:asciiTheme="majorHAnsi" w:hAnsiTheme="majorHAnsi"/>
          <w:sz w:val="24"/>
          <w:szCs w:val="24"/>
        </w:rPr>
        <w:t xml:space="preserve">staff will </w:t>
      </w:r>
      <w:r w:rsidRPr="001B4811">
        <w:rPr>
          <w:rFonts w:asciiTheme="majorHAnsi" w:hAnsiTheme="majorHAnsi"/>
          <w:color w:val="000000"/>
          <w:sz w:val="24"/>
          <w:szCs w:val="24"/>
        </w:rPr>
        <w:t>immediately contact emergency medical services by calling 000 and requesting an ambulance.</w:t>
      </w:r>
    </w:p>
    <w:p w:rsidR="00EC06C9" w:rsidRPr="001B4811" w:rsidRDefault="00EC06C9" w:rsidP="00010152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Theme="majorHAnsi" w:hAnsiTheme="majorHAnsi"/>
          <w:color w:val="000000"/>
          <w:sz w:val="24"/>
          <w:szCs w:val="24"/>
        </w:rPr>
      </w:pPr>
      <w:r w:rsidRPr="001B4811">
        <w:rPr>
          <w:rFonts w:asciiTheme="majorHAnsi" w:hAnsiTheme="majorHAnsi"/>
          <w:sz w:val="24"/>
          <w:szCs w:val="24"/>
        </w:rPr>
        <w:t xml:space="preserve">In such a situation, staff will take this action without waiting for parent/guardian consent (if the incident relates to a </w:t>
      </w:r>
      <w:r w:rsidR="006A28B4" w:rsidRPr="001B4811">
        <w:rPr>
          <w:rFonts w:asciiTheme="majorHAnsi" w:hAnsiTheme="majorHAnsi"/>
          <w:sz w:val="24"/>
          <w:szCs w:val="24"/>
        </w:rPr>
        <w:t>child</w:t>
      </w:r>
      <w:r w:rsidRPr="001B4811">
        <w:rPr>
          <w:rFonts w:asciiTheme="majorHAnsi" w:hAnsiTheme="majorHAnsi"/>
          <w:sz w:val="24"/>
          <w:szCs w:val="24"/>
        </w:rPr>
        <w:t>).  Delays in these circumstances could compromise safety.</w:t>
      </w:r>
    </w:p>
    <w:p w:rsidR="00EC06C9" w:rsidRPr="001B4811" w:rsidRDefault="00EC06C9" w:rsidP="00010152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Theme="majorHAnsi" w:hAnsiTheme="majorHAnsi"/>
          <w:color w:val="000000"/>
          <w:sz w:val="24"/>
          <w:szCs w:val="24"/>
        </w:rPr>
      </w:pPr>
      <w:r w:rsidRPr="001B4811">
        <w:rPr>
          <w:rFonts w:asciiTheme="majorHAnsi" w:hAnsiTheme="majorHAnsi"/>
          <w:sz w:val="24"/>
          <w:szCs w:val="24"/>
        </w:rPr>
        <w:t xml:space="preserve">Once the action has been taken, staff will notify </w:t>
      </w:r>
      <w:r w:rsidRPr="001B4811">
        <w:rPr>
          <w:rFonts w:asciiTheme="majorHAnsi" w:hAnsiTheme="majorHAnsi"/>
          <w:color w:val="000000"/>
          <w:sz w:val="24"/>
          <w:szCs w:val="24"/>
        </w:rPr>
        <w:t xml:space="preserve">parents/carers or the </w:t>
      </w:r>
      <w:r w:rsidR="006A28B4" w:rsidRPr="001B4811">
        <w:rPr>
          <w:rFonts w:asciiTheme="majorHAnsi" w:hAnsiTheme="majorHAnsi"/>
          <w:color w:val="000000"/>
          <w:sz w:val="24"/>
          <w:szCs w:val="24"/>
        </w:rPr>
        <w:t>child</w:t>
      </w:r>
      <w:r w:rsidRPr="001B4811">
        <w:rPr>
          <w:rFonts w:asciiTheme="majorHAnsi" w:hAnsiTheme="majorHAnsi"/>
          <w:color w:val="000000"/>
          <w:sz w:val="24"/>
          <w:szCs w:val="24"/>
        </w:rPr>
        <w:t>’s emergency contact and then the DET’s Security Services Unit on (03) 9589 6266.</w:t>
      </w:r>
    </w:p>
    <w:p w:rsidR="00EC06C9" w:rsidRPr="001B4811" w:rsidRDefault="00EC06C9" w:rsidP="00010152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Theme="majorHAnsi" w:hAnsiTheme="majorHAnsi"/>
          <w:color w:val="000000"/>
          <w:sz w:val="24"/>
          <w:szCs w:val="24"/>
        </w:rPr>
      </w:pPr>
      <w:r w:rsidRPr="001B4811">
        <w:rPr>
          <w:rFonts w:asciiTheme="majorHAnsi" w:hAnsiTheme="majorHAnsi"/>
          <w:sz w:val="24"/>
          <w:szCs w:val="24"/>
        </w:rPr>
        <w:t xml:space="preserve">Staff providing first aid may assess that an emergency response is not required, but medical advice is needed e.g. a child receives a blow to the head but there is no sign of concussion.  In these circumstances, the school should ask the parents/guardians or emergency contact person to collect the </w:t>
      </w:r>
      <w:r w:rsidR="006A28B4" w:rsidRPr="001B4811">
        <w:rPr>
          <w:rFonts w:asciiTheme="majorHAnsi" w:hAnsiTheme="majorHAnsi"/>
          <w:sz w:val="24"/>
          <w:szCs w:val="24"/>
        </w:rPr>
        <w:t>child</w:t>
      </w:r>
      <w:r w:rsidRPr="001B4811">
        <w:rPr>
          <w:rFonts w:asciiTheme="majorHAnsi" w:hAnsiTheme="majorHAnsi"/>
          <w:sz w:val="24"/>
          <w:szCs w:val="24"/>
        </w:rPr>
        <w:t xml:space="preserve"> and recommend that advice is sought from a medical practitioner.</w:t>
      </w:r>
    </w:p>
    <w:p w:rsidR="00EC06C9" w:rsidRPr="001B4811" w:rsidRDefault="00EC06C9" w:rsidP="00010152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Theme="majorHAnsi" w:hAnsiTheme="majorHAnsi"/>
          <w:color w:val="000000"/>
          <w:sz w:val="24"/>
          <w:szCs w:val="24"/>
        </w:rPr>
      </w:pPr>
      <w:r w:rsidRPr="001B4811">
        <w:rPr>
          <w:rFonts w:asciiTheme="majorHAnsi" w:hAnsiTheme="majorHAnsi"/>
          <w:color w:val="000000"/>
          <w:sz w:val="24"/>
          <w:szCs w:val="24"/>
        </w:rPr>
        <w:t xml:space="preserve">If the </w:t>
      </w:r>
      <w:r w:rsidR="006A28B4" w:rsidRPr="001B4811">
        <w:rPr>
          <w:rFonts w:asciiTheme="majorHAnsi" w:hAnsiTheme="majorHAnsi"/>
          <w:color w:val="000000"/>
          <w:sz w:val="24"/>
          <w:szCs w:val="24"/>
        </w:rPr>
        <w:t>child</w:t>
      </w:r>
      <w:r w:rsidRPr="001B4811">
        <w:rPr>
          <w:rFonts w:asciiTheme="majorHAnsi" w:hAnsiTheme="majorHAnsi"/>
          <w:color w:val="000000"/>
          <w:sz w:val="24"/>
          <w:szCs w:val="24"/>
        </w:rPr>
        <w:t xml:space="preserve">’s health and safety </w:t>
      </w:r>
      <w:proofErr w:type="gramStart"/>
      <w:r w:rsidRPr="001B4811">
        <w:rPr>
          <w:rFonts w:asciiTheme="majorHAnsi" w:hAnsiTheme="majorHAnsi"/>
          <w:color w:val="000000"/>
          <w:sz w:val="24"/>
          <w:szCs w:val="24"/>
        </w:rPr>
        <w:t>starts</w:t>
      </w:r>
      <w:proofErr w:type="gramEnd"/>
      <w:r w:rsidRPr="001B4811">
        <w:rPr>
          <w:rFonts w:asciiTheme="majorHAnsi" w:hAnsiTheme="majorHAnsi"/>
          <w:color w:val="000000"/>
          <w:sz w:val="24"/>
          <w:szCs w:val="24"/>
        </w:rPr>
        <w:t xml:space="preserve"> to deteriorate an emergency situation should be declared.</w:t>
      </w:r>
    </w:p>
    <w:p w:rsidR="00EC06C9" w:rsidRPr="001B4811" w:rsidRDefault="00EC06C9" w:rsidP="00010152">
      <w:pPr>
        <w:pStyle w:val="NoSpacing"/>
        <w:numPr>
          <w:ilvl w:val="0"/>
          <w:numId w:val="22"/>
        </w:numPr>
        <w:ind w:hanging="425"/>
        <w:jc w:val="both"/>
        <w:rPr>
          <w:rFonts w:asciiTheme="majorHAnsi" w:hAnsiTheme="majorHAnsi"/>
          <w:sz w:val="24"/>
          <w:szCs w:val="24"/>
          <w:lang w:eastAsia="en-AU"/>
        </w:rPr>
      </w:pPr>
      <w:r w:rsidRPr="001B4811">
        <w:rPr>
          <w:rFonts w:asciiTheme="majorHAnsi" w:hAnsiTheme="majorHAnsi"/>
          <w:sz w:val="24"/>
          <w:szCs w:val="24"/>
          <w:lang w:eastAsia="en-AU"/>
        </w:rPr>
        <w:t xml:space="preserve">If a </w:t>
      </w:r>
      <w:r w:rsidR="006A28B4" w:rsidRPr="001B4811">
        <w:rPr>
          <w:rFonts w:asciiTheme="majorHAnsi" w:hAnsiTheme="majorHAnsi"/>
          <w:sz w:val="24"/>
          <w:szCs w:val="24"/>
          <w:lang w:eastAsia="en-AU"/>
        </w:rPr>
        <w:t>child</w:t>
      </w:r>
      <w:r w:rsidRPr="001B4811">
        <w:rPr>
          <w:rFonts w:asciiTheme="majorHAnsi" w:hAnsiTheme="majorHAnsi"/>
          <w:sz w:val="24"/>
          <w:szCs w:val="24"/>
          <w:lang w:eastAsia="en-AU"/>
        </w:rPr>
        <w:t xml:space="preserve"> has a Not-For-Resuscitation (NFR) order as part of his/her palliative care to manage a deteriorating and life-threatening condition, the first aid response must be documented in the Health Support Plan.  In such circumstances, the school will must immediately contact an ambulance.</w:t>
      </w:r>
    </w:p>
    <w:p w:rsidR="00EC06C9" w:rsidRPr="001B4811" w:rsidRDefault="00EC06C9" w:rsidP="00010152">
      <w:pPr>
        <w:pStyle w:val="NoSpacing"/>
        <w:ind w:left="743" w:hanging="425"/>
        <w:jc w:val="both"/>
        <w:rPr>
          <w:rFonts w:asciiTheme="majorHAnsi" w:hAnsiTheme="majorHAnsi"/>
          <w:sz w:val="24"/>
          <w:szCs w:val="24"/>
          <w:lang w:eastAsia="en-AU"/>
        </w:rPr>
      </w:pPr>
      <w:r w:rsidRPr="001B4811">
        <w:rPr>
          <w:rFonts w:asciiTheme="majorHAnsi" w:hAnsiTheme="majorHAnsi"/>
          <w:b/>
          <w:bCs/>
          <w:sz w:val="24"/>
          <w:szCs w:val="24"/>
          <w:lang w:eastAsia="en-AU"/>
        </w:rPr>
        <w:lastRenderedPageBreak/>
        <w:t>Note</w:t>
      </w:r>
      <w:r w:rsidRPr="001B4811">
        <w:rPr>
          <w:rFonts w:asciiTheme="majorHAnsi" w:hAnsiTheme="majorHAnsi"/>
          <w:sz w:val="24"/>
          <w:szCs w:val="24"/>
          <w:lang w:eastAsia="en-AU"/>
        </w:rPr>
        <w:t xml:space="preserve">: It is not the role of the College or staff to </w:t>
      </w:r>
      <w:proofErr w:type="gramStart"/>
      <w:r w:rsidRPr="001B4811">
        <w:rPr>
          <w:rFonts w:asciiTheme="majorHAnsi" w:hAnsiTheme="majorHAnsi"/>
          <w:sz w:val="24"/>
          <w:szCs w:val="24"/>
          <w:lang w:eastAsia="en-AU"/>
        </w:rPr>
        <w:t>make a decision</w:t>
      </w:r>
      <w:proofErr w:type="gramEnd"/>
      <w:r w:rsidRPr="001B4811">
        <w:rPr>
          <w:rFonts w:asciiTheme="majorHAnsi" w:hAnsiTheme="majorHAnsi"/>
          <w:sz w:val="24"/>
          <w:szCs w:val="24"/>
          <w:lang w:eastAsia="en-AU"/>
        </w:rPr>
        <w:t xml:space="preserve"> about medical prognosis or determine whether the point of the Not-For-Resuscitation order has been reached.</w:t>
      </w:r>
    </w:p>
    <w:p w:rsidR="00EC06C9" w:rsidRPr="001B4811" w:rsidRDefault="00EC06C9" w:rsidP="00010152">
      <w:pPr>
        <w:pStyle w:val="NoSpacing"/>
        <w:numPr>
          <w:ilvl w:val="0"/>
          <w:numId w:val="23"/>
        </w:numPr>
        <w:ind w:hanging="425"/>
        <w:jc w:val="both"/>
        <w:rPr>
          <w:rFonts w:asciiTheme="majorHAnsi" w:hAnsiTheme="majorHAnsi"/>
          <w:sz w:val="24"/>
          <w:szCs w:val="24"/>
          <w:lang w:eastAsia="en-AU"/>
        </w:rPr>
      </w:pPr>
      <w:r w:rsidRPr="001B4811">
        <w:rPr>
          <w:rFonts w:asciiTheme="majorHAnsi" w:hAnsiTheme="majorHAnsi"/>
          <w:sz w:val="24"/>
          <w:szCs w:val="24"/>
          <w:lang w:eastAsia="en-AU"/>
        </w:rPr>
        <w:t xml:space="preserve">On the rare occasion when a staff member </w:t>
      </w:r>
      <w:proofErr w:type="gramStart"/>
      <w:r w:rsidRPr="001B4811">
        <w:rPr>
          <w:rFonts w:asciiTheme="majorHAnsi" w:hAnsiTheme="majorHAnsi"/>
          <w:sz w:val="24"/>
          <w:szCs w:val="24"/>
          <w:lang w:eastAsia="en-AU"/>
        </w:rPr>
        <w:t>has to</w:t>
      </w:r>
      <w:proofErr w:type="gramEnd"/>
      <w:r w:rsidRPr="001B4811">
        <w:rPr>
          <w:rFonts w:asciiTheme="majorHAnsi" w:hAnsiTheme="majorHAnsi"/>
          <w:sz w:val="24"/>
          <w:szCs w:val="24"/>
          <w:lang w:eastAsia="en-AU"/>
        </w:rPr>
        <w:t xml:space="preserve"> transport a </w:t>
      </w:r>
      <w:r w:rsidR="006A28B4" w:rsidRPr="001B4811">
        <w:rPr>
          <w:rFonts w:asciiTheme="majorHAnsi" w:hAnsiTheme="majorHAnsi"/>
          <w:sz w:val="24"/>
          <w:szCs w:val="24"/>
          <w:lang w:eastAsia="en-AU"/>
        </w:rPr>
        <w:t>child</w:t>
      </w:r>
      <w:r w:rsidRPr="001B4811">
        <w:rPr>
          <w:rFonts w:asciiTheme="majorHAnsi" w:hAnsiTheme="majorHAnsi"/>
          <w:sz w:val="24"/>
          <w:szCs w:val="24"/>
          <w:lang w:eastAsia="en-AU"/>
        </w:rPr>
        <w:t xml:space="preserve"> to emergency care (such as when an ambulance is not available), at least two adults should accompany the </w:t>
      </w:r>
      <w:r w:rsidR="006A28B4" w:rsidRPr="001B4811">
        <w:rPr>
          <w:rFonts w:asciiTheme="majorHAnsi" w:hAnsiTheme="majorHAnsi"/>
          <w:sz w:val="24"/>
          <w:szCs w:val="24"/>
          <w:lang w:eastAsia="en-AU"/>
        </w:rPr>
        <w:t>child</w:t>
      </w:r>
      <w:r w:rsidRPr="001B4811">
        <w:rPr>
          <w:rFonts w:asciiTheme="majorHAnsi" w:hAnsiTheme="majorHAnsi"/>
          <w:sz w:val="24"/>
          <w:szCs w:val="24"/>
          <w:lang w:eastAsia="en-AU"/>
        </w:rPr>
        <w:t xml:space="preserve"> to ensure the driver is not distracted and the </w:t>
      </w:r>
      <w:r w:rsidR="006A28B4" w:rsidRPr="001B4811">
        <w:rPr>
          <w:rFonts w:asciiTheme="majorHAnsi" w:hAnsiTheme="majorHAnsi"/>
          <w:sz w:val="24"/>
          <w:szCs w:val="24"/>
          <w:lang w:eastAsia="en-AU"/>
        </w:rPr>
        <w:t>child</w:t>
      </w:r>
      <w:r w:rsidRPr="001B4811">
        <w:rPr>
          <w:rFonts w:asciiTheme="majorHAnsi" w:hAnsiTheme="majorHAnsi"/>
          <w:sz w:val="24"/>
          <w:szCs w:val="24"/>
          <w:lang w:eastAsia="en-AU"/>
        </w:rPr>
        <w:t xml:space="preserve"> can be constantly supervised.</w:t>
      </w:r>
    </w:p>
    <w:p w:rsidR="00EC06C9" w:rsidRPr="001B4811" w:rsidRDefault="00EC06C9" w:rsidP="00010152">
      <w:pPr>
        <w:pStyle w:val="ListParagraph"/>
        <w:numPr>
          <w:ilvl w:val="0"/>
          <w:numId w:val="24"/>
        </w:numPr>
        <w:ind w:hanging="425"/>
        <w:jc w:val="both"/>
        <w:rPr>
          <w:rFonts w:asciiTheme="majorHAnsi" w:hAnsiTheme="majorHAnsi"/>
          <w:lang w:val="en-US"/>
        </w:rPr>
      </w:pPr>
      <w:r w:rsidRPr="001B4811">
        <w:rPr>
          <w:rFonts w:asciiTheme="majorHAnsi" w:hAnsiTheme="majorHAnsi"/>
          <w:lang w:val="en-US"/>
        </w:rPr>
        <w:t xml:space="preserve">As outlined in the First Aid Policy, upon the Principal’s discretion and provided alternative supervision for remaining </w:t>
      </w:r>
      <w:r w:rsidR="006A28B4" w:rsidRPr="001B4811">
        <w:rPr>
          <w:rFonts w:asciiTheme="majorHAnsi" w:hAnsiTheme="majorHAnsi"/>
          <w:lang w:val="en-US"/>
        </w:rPr>
        <w:t>children</w:t>
      </w:r>
      <w:r w:rsidRPr="001B4811">
        <w:rPr>
          <w:rFonts w:asciiTheme="majorHAnsi" w:hAnsiTheme="majorHAnsi"/>
          <w:lang w:val="en-US"/>
        </w:rPr>
        <w:t xml:space="preserve"> can be arranged, a staff member may accompany a student transported by emergency services when one or more of the following applies:</w:t>
      </w:r>
    </w:p>
    <w:p w:rsidR="00EC06C9" w:rsidRPr="001B4811" w:rsidRDefault="00EC06C9" w:rsidP="00010152">
      <w:pPr>
        <w:pStyle w:val="ListParagraph"/>
        <w:numPr>
          <w:ilvl w:val="0"/>
          <w:numId w:val="25"/>
        </w:numPr>
        <w:ind w:firstLine="306"/>
        <w:rPr>
          <w:rFonts w:asciiTheme="majorHAnsi" w:hAnsiTheme="majorHAnsi"/>
          <w:color w:val="000000"/>
          <w:lang w:val="en-US"/>
        </w:rPr>
      </w:pPr>
      <w:r w:rsidRPr="001B4811">
        <w:rPr>
          <w:rFonts w:asciiTheme="majorHAnsi" w:hAnsiTheme="majorHAnsi"/>
          <w:color w:val="000000"/>
          <w:lang w:val="en-US"/>
        </w:rPr>
        <w:t>a parent/</w:t>
      </w:r>
      <w:proofErr w:type="spellStart"/>
      <w:r w:rsidRPr="001B4811">
        <w:rPr>
          <w:rFonts w:asciiTheme="majorHAnsi" w:hAnsiTheme="majorHAnsi"/>
          <w:color w:val="000000"/>
          <w:lang w:val="en-US"/>
        </w:rPr>
        <w:t>carer</w:t>
      </w:r>
      <w:proofErr w:type="spellEnd"/>
      <w:r w:rsidRPr="001B4811">
        <w:rPr>
          <w:rFonts w:asciiTheme="majorHAnsi" w:hAnsiTheme="majorHAnsi"/>
          <w:color w:val="000000"/>
          <w:lang w:val="en-US"/>
        </w:rPr>
        <w:t xml:space="preserve"> or emergency contact person cannot do so</w:t>
      </w:r>
    </w:p>
    <w:p w:rsidR="00EC06C9" w:rsidRPr="001B4811" w:rsidRDefault="00EC06C9" w:rsidP="00010152">
      <w:pPr>
        <w:pStyle w:val="ListParagraph"/>
        <w:numPr>
          <w:ilvl w:val="0"/>
          <w:numId w:val="25"/>
        </w:numPr>
        <w:ind w:firstLine="306"/>
        <w:rPr>
          <w:rFonts w:asciiTheme="majorHAnsi" w:hAnsiTheme="majorHAnsi"/>
          <w:color w:val="000000"/>
          <w:lang w:val="en-US"/>
        </w:rPr>
      </w:pPr>
      <w:r w:rsidRPr="001B4811">
        <w:rPr>
          <w:rFonts w:asciiTheme="majorHAnsi" w:hAnsiTheme="majorHAnsi"/>
          <w:color w:val="000000"/>
          <w:lang w:val="en-US"/>
        </w:rPr>
        <w:t>the age or development of the student justifies it</w:t>
      </w:r>
    </w:p>
    <w:p w:rsidR="00EC06C9" w:rsidRPr="001B4811" w:rsidRDefault="00EC06C9" w:rsidP="00010152">
      <w:pPr>
        <w:pStyle w:val="ListParagraph"/>
        <w:numPr>
          <w:ilvl w:val="0"/>
          <w:numId w:val="25"/>
        </w:numPr>
        <w:ind w:firstLine="306"/>
        <w:rPr>
          <w:rFonts w:asciiTheme="majorHAnsi" w:hAnsiTheme="majorHAnsi"/>
          <w:color w:val="000000"/>
          <w:lang w:val="en-US"/>
        </w:rPr>
      </w:pPr>
      <w:r w:rsidRPr="001B4811">
        <w:rPr>
          <w:rFonts w:asciiTheme="majorHAnsi" w:hAnsiTheme="majorHAnsi"/>
          <w:color w:val="000000"/>
          <w:lang w:val="en-US"/>
        </w:rPr>
        <w:t>the student chooses to be accompanied</w:t>
      </w:r>
    </w:p>
    <w:p w:rsidR="00EC06C9" w:rsidRPr="001B4811" w:rsidRDefault="00EC06C9" w:rsidP="00010152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Theme="majorHAnsi" w:hAnsiTheme="majorHAnsi"/>
          <w:i/>
          <w:color w:val="000000"/>
          <w:sz w:val="24"/>
          <w:szCs w:val="24"/>
        </w:rPr>
      </w:pPr>
      <w:r w:rsidRPr="001B4811">
        <w:rPr>
          <w:rFonts w:asciiTheme="majorHAnsi" w:hAnsiTheme="majorHAnsi"/>
          <w:color w:val="000000"/>
          <w:sz w:val="24"/>
          <w:szCs w:val="24"/>
        </w:rPr>
        <w:t xml:space="preserve">Please refer also to the </w:t>
      </w:r>
      <w:r w:rsidRPr="001B4811">
        <w:rPr>
          <w:rFonts w:asciiTheme="majorHAnsi" w:hAnsiTheme="majorHAnsi"/>
          <w:i/>
          <w:color w:val="000000"/>
          <w:sz w:val="24"/>
          <w:szCs w:val="24"/>
        </w:rPr>
        <w:t>First Aid Policy</w:t>
      </w:r>
      <w:r w:rsidRPr="001B4811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1B4811">
        <w:rPr>
          <w:rFonts w:asciiTheme="majorHAnsi" w:hAnsiTheme="majorHAnsi"/>
          <w:i/>
          <w:color w:val="000000"/>
          <w:sz w:val="24"/>
          <w:szCs w:val="24"/>
        </w:rPr>
        <w:t>the Emergency &amp; Critical Incidents Policy</w:t>
      </w:r>
      <w:r w:rsidRPr="001B4811">
        <w:rPr>
          <w:rFonts w:asciiTheme="majorHAnsi" w:hAnsiTheme="majorHAnsi"/>
          <w:color w:val="000000"/>
          <w:sz w:val="24"/>
          <w:szCs w:val="24"/>
        </w:rPr>
        <w:t xml:space="preserve">, the </w:t>
      </w:r>
      <w:r w:rsidRPr="001B4811">
        <w:rPr>
          <w:rFonts w:asciiTheme="majorHAnsi" w:hAnsiTheme="majorHAnsi"/>
          <w:i/>
          <w:color w:val="000000"/>
          <w:sz w:val="24"/>
          <w:szCs w:val="24"/>
        </w:rPr>
        <w:t>Emergency &amp; Incident Reporting Policy</w:t>
      </w:r>
      <w:r w:rsidR="006A28B4" w:rsidRPr="001B4811">
        <w:rPr>
          <w:rFonts w:asciiTheme="majorHAnsi" w:hAnsiTheme="majorHAnsi"/>
          <w:i/>
          <w:color w:val="000000"/>
          <w:sz w:val="24"/>
          <w:szCs w:val="24"/>
        </w:rPr>
        <w:t>,</w:t>
      </w:r>
      <w:r w:rsidRPr="001B4811">
        <w:rPr>
          <w:rFonts w:asciiTheme="majorHAnsi" w:hAnsiTheme="majorHAnsi"/>
          <w:color w:val="000000"/>
          <w:sz w:val="24"/>
          <w:szCs w:val="24"/>
        </w:rPr>
        <w:t xml:space="preserve"> the </w:t>
      </w:r>
      <w:r w:rsidR="006A28B4" w:rsidRPr="001B4811">
        <w:rPr>
          <w:rFonts w:asciiTheme="majorHAnsi" w:hAnsiTheme="majorHAnsi"/>
          <w:i/>
          <w:color w:val="000000"/>
          <w:sz w:val="24"/>
          <w:szCs w:val="24"/>
        </w:rPr>
        <w:t xml:space="preserve">Accident Reporting Policy </w:t>
      </w:r>
      <w:r w:rsidR="006A28B4" w:rsidRPr="001B4811">
        <w:rPr>
          <w:rFonts w:asciiTheme="majorHAnsi" w:hAnsiTheme="majorHAnsi"/>
          <w:color w:val="000000"/>
          <w:sz w:val="24"/>
          <w:szCs w:val="24"/>
        </w:rPr>
        <w:t>and the Child Safe Standards.</w:t>
      </w:r>
    </w:p>
    <w:p w:rsidR="00EC06C9" w:rsidRPr="001B4811" w:rsidRDefault="00EC06C9" w:rsidP="00010152">
      <w:pPr>
        <w:ind w:left="1134"/>
        <w:jc w:val="both"/>
        <w:rPr>
          <w:rFonts w:asciiTheme="majorHAnsi" w:hAnsiTheme="majorHAnsi"/>
          <w:color w:val="000000"/>
          <w:sz w:val="24"/>
          <w:szCs w:val="24"/>
        </w:rPr>
      </w:pPr>
      <w:bookmarkStart w:id="0" w:name="_GoBack"/>
      <w:bookmarkEnd w:id="0"/>
    </w:p>
    <w:p w:rsidR="003A0DE3" w:rsidRDefault="00EC06C9" w:rsidP="003A0DE3">
      <w:pPr>
        <w:pStyle w:val="NoSpacing"/>
        <w:jc w:val="both"/>
        <w:rPr>
          <w:rStyle w:val="SubtleReference"/>
        </w:rPr>
      </w:pPr>
      <w:r w:rsidRPr="001B4811">
        <w:rPr>
          <w:rStyle w:val="SubtleReference"/>
        </w:rPr>
        <w:t>Evaluation</w:t>
      </w:r>
    </w:p>
    <w:p w:rsidR="00EC06C9" w:rsidRDefault="00EC06C9" w:rsidP="003A0DE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1B4811">
        <w:rPr>
          <w:rFonts w:asciiTheme="majorHAnsi" w:hAnsiTheme="majorHAnsi"/>
          <w:sz w:val="24"/>
          <w:szCs w:val="24"/>
        </w:rPr>
        <w:t>This policy will be reviewed as part of the school’s three-year review cycle or if guidelines change (latest update early September 2014).</w:t>
      </w:r>
    </w:p>
    <w:p w:rsidR="003A0DE3" w:rsidRPr="003A0DE3" w:rsidRDefault="003A0DE3" w:rsidP="003A0DE3">
      <w:pPr>
        <w:pStyle w:val="NoSpacing"/>
        <w:jc w:val="both"/>
        <w:rPr>
          <w:rFonts w:asciiTheme="majorHAnsi" w:hAnsiTheme="majorHAnsi"/>
          <w:smallCaps/>
          <w:sz w:val="24"/>
          <w:u w:val="single"/>
        </w:rPr>
      </w:pPr>
    </w:p>
    <w:p w:rsidR="001B4811" w:rsidRDefault="003D21A2" w:rsidP="00010152">
      <w:pPr>
        <w:pStyle w:val="NoSpacing"/>
        <w:jc w:val="both"/>
        <w:rPr>
          <w:rStyle w:val="SubtleReference"/>
        </w:rPr>
      </w:pPr>
      <w:r w:rsidRPr="001B4811">
        <w:rPr>
          <w:rStyle w:val="SubtleReference"/>
        </w:rPr>
        <w:t>Ratification</w:t>
      </w:r>
    </w:p>
    <w:p w:rsidR="003D21A2" w:rsidRPr="003A0DE3" w:rsidRDefault="003D21A2" w:rsidP="003A0DE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3A0DE3">
        <w:rPr>
          <w:rFonts w:asciiTheme="majorHAnsi" w:hAnsiTheme="majorHAnsi"/>
          <w:sz w:val="24"/>
          <w:szCs w:val="24"/>
        </w:rPr>
        <w:t xml:space="preserve">This update was ratified by College Council on </w:t>
      </w:r>
      <w:r w:rsidR="003A0DE3">
        <w:rPr>
          <w:rFonts w:asciiTheme="majorHAnsi" w:hAnsiTheme="majorHAnsi"/>
          <w:sz w:val="24"/>
          <w:szCs w:val="24"/>
        </w:rPr>
        <w:t>15</w:t>
      </w:r>
      <w:r w:rsidR="003A0DE3" w:rsidRPr="003A0DE3">
        <w:rPr>
          <w:rFonts w:asciiTheme="majorHAnsi" w:hAnsiTheme="majorHAnsi"/>
          <w:sz w:val="24"/>
          <w:szCs w:val="24"/>
          <w:vertAlign w:val="superscript"/>
        </w:rPr>
        <w:t>th</w:t>
      </w:r>
      <w:r w:rsidR="003A0DE3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A0DE3">
        <w:rPr>
          <w:rFonts w:asciiTheme="majorHAnsi" w:hAnsiTheme="majorHAnsi"/>
          <w:sz w:val="24"/>
          <w:szCs w:val="24"/>
        </w:rPr>
        <w:t>February,</w:t>
      </w:r>
      <w:proofErr w:type="gramEnd"/>
      <w:r w:rsidR="003A0DE3">
        <w:rPr>
          <w:rFonts w:asciiTheme="majorHAnsi" w:hAnsiTheme="majorHAnsi"/>
          <w:sz w:val="24"/>
          <w:szCs w:val="24"/>
        </w:rPr>
        <w:t xml:space="preserve"> 2018.</w:t>
      </w:r>
    </w:p>
    <w:p w:rsidR="00EC06C9" w:rsidRPr="003A0DE3" w:rsidRDefault="00EC06C9" w:rsidP="003A0DE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EC06C9" w:rsidRPr="003A0DE3" w:rsidRDefault="00EC06C9" w:rsidP="003A0DE3">
      <w:pPr>
        <w:pStyle w:val="NoSpacing"/>
        <w:jc w:val="both"/>
        <w:rPr>
          <w:rStyle w:val="SubtleReference"/>
        </w:rPr>
      </w:pPr>
      <w:r w:rsidRPr="003A0DE3">
        <w:rPr>
          <w:rStyle w:val="SubtleReference"/>
        </w:rPr>
        <w:t>Reference</w:t>
      </w:r>
    </w:p>
    <w:p w:rsidR="00931966" w:rsidRPr="003A0DE3" w:rsidRDefault="004F42C2" w:rsidP="003A0DE3">
      <w:pPr>
        <w:pStyle w:val="NoSpacing"/>
        <w:jc w:val="both"/>
        <w:rPr>
          <w:rFonts w:asciiTheme="majorHAnsi" w:hAnsiTheme="majorHAnsi"/>
          <w:sz w:val="24"/>
          <w:szCs w:val="24"/>
        </w:rPr>
      </w:pPr>
      <w:hyperlink r:id="rId10" w:history="1">
        <w:r w:rsidR="00EC06C9" w:rsidRPr="003A0DE3">
          <w:rPr>
            <w:rFonts w:asciiTheme="majorHAnsi" w:hAnsiTheme="majorHAnsi"/>
            <w:sz w:val="24"/>
            <w:szCs w:val="24"/>
          </w:rPr>
          <w:t>www.education.vic.gov.au/school/principals/spag/management/pages/medical.aspx</w:t>
        </w:r>
      </w:hyperlink>
      <w:r w:rsidR="00EC06C9" w:rsidRPr="003A0DE3">
        <w:rPr>
          <w:rFonts w:asciiTheme="majorHAnsi" w:hAnsiTheme="majorHAnsi"/>
          <w:sz w:val="24"/>
          <w:szCs w:val="24"/>
        </w:rPr>
        <w:t xml:space="preserve"> </w:t>
      </w:r>
    </w:p>
    <w:sectPr w:rsidR="00931966" w:rsidRPr="003A0DE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2C2" w:rsidRDefault="004F42C2" w:rsidP="001B4811">
      <w:pPr>
        <w:spacing w:after="0" w:line="240" w:lineRule="auto"/>
      </w:pPr>
      <w:r>
        <w:separator/>
      </w:r>
    </w:p>
  </w:endnote>
  <w:endnote w:type="continuationSeparator" w:id="0">
    <w:p w:rsidR="004F42C2" w:rsidRDefault="004F42C2" w:rsidP="001B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962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4811" w:rsidRDefault="001B4811" w:rsidP="000101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D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2C2" w:rsidRDefault="004F42C2" w:rsidP="001B4811">
      <w:pPr>
        <w:spacing w:after="0" w:line="240" w:lineRule="auto"/>
      </w:pPr>
      <w:r>
        <w:separator/>
      </w:r>
    </w:p>
  </w:footnote>
  <w:footnote w:type="continuationSeparator" w:id="0">
    <w:p w:rsidR="004F42C2" w:rsidRDefault="004F42C2" w:rsidP="001B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28"/>
      <w:gridCol w:w="2488"/>
    </w:tblGrid>
    <w:tr w:rsidR="001B4811" w:rsidTr="00010152">
      <w:trPr>
        <w:trHeight w:val="1691"/>
      </w:trPr>
      <w:tc>
        <w:tcPr>
          <w:tcW w:w="6912" w:type="dxa"/>
          <w:vAlign w:val="center"/>
        </w:tcPr>
        <w:p w:rsidR="001B4811" w:rsidRPr="001B4811" w:rsidRDefault="001B4811" w:rsidP="00010152">
          <w:pPr>
            <w:pStyle w:val="Title"/>
            <w:rPr>
              <w:b w:val="0"/>
              <w:sz w:val="32"/>
              <w:szCs w:val="32"/>
            </w:rPr>
          </w:pPr>
          <w:r w:rsidRPr="00010152">
            <w:rPr>
              <w:b w:val="0"/>
              <w:sz w:val="36"/>
              <w:szCs w:val="32"/>
            </w:rPr>
            <w:t>medical emergencies policy</w:t>
          </w:r>
        </w:p>
      </w:tc>
      <w:tc>
        <w:tcPr>
          <w:tcW w:w="2694" w:type="dxa"/>
        </w:tcPr>
        <w:p w:rsidR="001B4811" w:rsidRDefault="001B4811" w:rsidP="001B4811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A7E2E9" wp14:editId="01B8F471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B4811" w:rsidRDefault="001B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76EA"/>
    <w:multiLevelType w:val="hybridMultilevel"/>
    <w:tmpl w:val="7C9CD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82F"/>
    <w:multiLevelType w:val="hybridMultilevel"/>
    <w:tmpl w:val="DFC8A39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B33D1E"/>
    <w:multiLevelType w:val="hybridMultilevel"/>
    <w:tmpl w:val="C2164E0C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086B"/>
    <w:multiLevelType w:val="hybridMultilevel"/>
    <w:tmpl w:val="5A086C2C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485EC6"/>
    <w:multiLevelType w:val="hybridMultilevel"/>
    <w:tmpl w:val="525AD9E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DE6FF6"/>
    <w:multiLevelType w:val="hybridMultilevel"/>
    <w:tmpl w:val="3348B37A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5689A"/>
    <w:multiLevelType w:val="hybridMultilevel"/>
    <w:tmpl w:val="62EED1B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3744B1"/>
    <w:multiLevelType w:val="hybridMultilevel"/>
    <w:tmpl w:val="7FD226E4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192A"/>
    <w:multiLevelType w:val="hybridMultilevel"/>
    <w:tmpl w:val="3CE209F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D61212C"/>
    <w:multiLevelType w:val="hybridMultilevel"/>
    <w:tmpl w:val="64E878BC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0567A"/>
    <w:multiLevelType w:val="hybridMultilevel"/>
    <w:tmpl w:val="BE3A493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E22E6"/>
    <w:multiLevelType w:val="hybridMultilevel"/>
    <w:tmpl w:val="FF82CC6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69829E1"/>
    <w:multiLevelType w:val="hybridMultilevel"/>
    <w:tmpl w:val="6BA04D90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46475"/>
    <w:multiLevelType w:val="hybridMultilevel"/>
    <w:tmpl w:val="57DC0BB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B5F594A"/>
    <w:multiLevelType w:val="hybridMultilevel"/>
    <w:tmpl w:val="6666D60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6024A0"/>
    <w:multiLevelType w:val="hybridMultilevel"/>
    <w:tmpl w:val="2C42307E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6368"/>
    <w:multiLevelType w:val="hybridMultilevel"/>
    <w:tmpl w:val="6E3ED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902C0"/>
    <w:multiLevelType w:val="hybridMultilevel"/>
    <w:tmpl w:val="70E2ED5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181A79"/>
    <w:multiLevelType w:val="hybridMultilevel"/>
    <w:tmpl w:val="7C9AC180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EF35892"/>
    <w:multiLevelType w:val="hybridMultilevel"/>
    <w:tmpl w:val="4808BF5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3F2126A"/>
    <w:multiLevelType w:val="hybridMultilevel"/>
    <w:tmpl w:val="395035B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D73CEB"/>
    <w:multiLevelType w:val="hybridMultilevel"/>
    <w:tmpl w:val="95A2DB8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9037712"/>
    <w:multiLevelType w:val="hybridMultilevel"/>
    <w:tmpl w:val="83EC58B8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E225B88"/>
    <w:multiLevelType w:val="hybridMultilevel"/>
    <w:tmpl w:val="EA7E60BA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83B56"/>
    <w:multiLevelType w:val="hybridMultilevel"/>
    <w:tmpl w:val="9440F922"/>
    <w:lvl w:ilvl="0" w:tplc="57F0097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51137"/>
    <w:multiLevelType w:val="hybridMultilevel"/>
    <w:tmpl w:val="5E765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7795F"/>
    <w:multiLevelType w:val="hybridMultilevel"/>
    <w:tmpl w:val="E312DAE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5B91C2B"/>
    <w:multiLevelType w:val="hybridMultilevel"/>
    <w:tmpl w:val="A72E01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A02D6D"/>
    <w:multiLevelType w:val="hybridMultilevel"/>
    <w:tmpl w:val="C5BC3B3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72D3CC6"/>
    <w:multiLevelType w:val="hybridMultilevel"/>
    <w:tmpl w:val="87B82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B154D"/>
    <w:multiLevelType w:val="hybridMultilevel"/>
    <w:tmpl w:val="D6BA21C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04010A"/>
    <w:multiLevelType w:val="hybridMultilevel"/>
    <w:tmpl w:val="D6AC1BEE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3"/>
  </w:num>
  <w:num w:numId="5">
    <w:abstractNumId w:val="8"/>
  </w:num>
  <w:num w:numId="6">
    <w:abstractNumId w:val="30"/>
  </w:num>
  <w:num w:numId="7">
    <w:abstractNumId w:val="11"/>
  </w:num>
  <w:num w:numId="8">
    <w:abstractNumId w:val="18"/>
  </w:num>
  <w:num w:numId="9">
    <w:abstractNumId w:val="28"/>
  </w:num>
  <w:num w:numId="10">
    <w:abstractNumId w:val="25"/>
  </w:num>
  <w:num w:numId="11">
    <w:abstractNumId w:val="29"/>
  </w:num>
  <w:num w:numId="12">
    <w:abstractNumId w:val="20"/>
  </w:num>
  <w:num w:numId="13">
    <w:abstractNumId w:val="1"/>
  </w:num>
  <w:num w:numId="14">
    <w:abstractNumId w:val="6"/>
  </w:num>
  <w:num w:numId="15">
    <w:abstractNumId w:val="4"/>
  </w:num>
  <w:num w:numId="16">
    <w:abstractNumId w:val="17"/>
  </w:num>
  <w:num w:numId="17">
    <w:abstractNumId w:val="10"/>
  </w:num>
  <w:num w:numId="18">
    <w:abstractNumId w:val="16"/>
  </w:num>
  <w:num w:numId="19">
    <w:abstractNumId w:val="22"/>
  </w:num>
  <w:num w:numId="20">
    <w:abstractNumId w:val="27"/>
  </w:num>
  <w:num w:numId="21">
    <w:abstractNumId w:val="31"/>
  </w:num>
  <w:num w:numId="22">
    <w:abstractNumId w:val="5"/>
  </w:num>
  <w:num w:numId="23">
    <w:abstractNumId w:val="12"/>
  </w:num>
  <w:num w:numId="24">
    <w:abstractNumId w:val="23"/>
  </w:num>
  <w:num w:numId="25">
    <w:abstractNumId w:val="2"/>
  </w:num>
  <w:num w:numId="26">
    <w:abstractNumId w:val="0"/>
  </w:num>
  <w:num w:numId="27">
    <w:abstractNumId w:val="15"/>
  </w:num>
  <w:num w:numId="28">
    <w:abstractNumId w:val="9"/>
  </w:num>
  <w:num w:numId="29">
    <w:abstractNumId w:val="14"/>
  </w:num>
  <w:num w:numId="30">
    <w:abstractNumId w:val="26"/>
  </w:num>
  <w:num w:numId="31">
    <w:abstractNumId w:val="7"/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10152"/>
    <w:rsid w:val="000276EB"/>
    <w:rsid w:val="00091DD9"/>
    <w:rsid w:val="00135515"/>
    <w:rsid w:val="001B4811"/>
    <w:rsid w:val="001D6C99"/>
    <w:rsid w:val="002C7F9C"/>
    <w:rsid w:val="002E46DB"/>
    <w:rsid w:val="002E6CFA"/>
    <w:rsid w:val="00325C80"/>
    <w:rsid w:val="00363708"/>
    <w:rsid w:val="00365E49"/>
    <w:rsid w:val="003A073E"/>
    <w:rsid w:val="003A0DE3"/>
    <w:rsid w:val="003C0605"/>
    <w:rsid w:val="003D21A2"/>
    <w:rsid w:val="003D6325"/>
    <w:rsid w:val="004676FD"/>
    <w:rsid w:val="004936BB"/>
    <w:rsid w:val="004F42C2"/>
    <w:rsid w:val="005E3B09"/>
    <w:rsid w:val="005E3B6A"/>
    <w:rsid w:val="006342C1"/>
    <w:rsid w:val="00671E68"/>
    <w:rsid w:val="006A28B4"/>
    <w:rsid w:val="00701CB8"/>
    <w:rsid w:val="00715824"/>
    <w:rsid w:val="00722273"/>
    <w:rsid w:val="007625F5"/>
    <w:rsid w:val="007A3168"/>
    <w:rsid w:val="007C35C5"/>
    <w:rsid w:val="008001EE"/>
    <w:rsid w:val="0080729D"/>
    <w:rsid w:val="008D0106"/>
    <w:rsid w:val="008F6296"/>
    <w:rsid w:val="00904532"/>
    <w:rsid w:val="00912DA4"/>
    <w:rsid w:val="00931966"/>
    <w:rsid w:val="00992440"/>
    <w:rsid w:val="00A664FF"/>
    <w:rsid w:val="00A97010"/>
    <w:rsid w:val="00AA22FC"/>
    <w:rsid w:val="00AA29D3"/>
    <w:rsid w:val="00AB2816"/>
    <w:rsid w:val="00B11EC4"/>
    <w:rsid w:val="00B32355"/>
    <w:rsid w:val="00B85E6B"/>
    <w:rsid w:val="00BE2EA6"/>
    <w:rsid w:val="00BE67C8"/>
    <w:rsid w:val="00D02305"/>
    <w:rsid w:val="00D42A2E"/>
    <w:rsid w:val="00DB36B6"/>
    <w:rsid w:val="00DC79AA"/>
    <w:rsid w:val="00DD0BCB"/>
    <w:rsid w:val="00E92890"/>
    <w:rsid w:val="00EC06C9"/>
    <w:rsid w:val="00F1461A"/>
    <w:rsid w:val="00F30C7C"/>
    <w:rsid w:val="00F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FDBA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character" w:customStyle="1" w:styleId="NoSpacingChar">
    <w:name w:val="No Spacing Char"/>
    <w:link w:val="NoSpacing"/>
    <w:uiPriority w:val="1"/>
    <w:locked/>
    <w:rsid w:val="003D21A2"/>
  </w:style>
  <w:style w:type="paragraph" w:styleId="Footer">
    <w:name w:val="footer"/>
    <w:basedOn w:val="Normal"/>
    <w:link w:val="FooterChar"/>
    <w:uiPriority w:val="99"/>
    <w:unhideWhenUsed/>
    <w:rsid w:val="001B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811"/>
  </w:style>
  <w:style w:type="paragraph" w:styleId="Title">
    <w:name w:val="Title"/>
    <w:basedOn w:val="Normal"/>
    <w:link w:val="TitleChar"/>
    <w:qFormat/>
    <w:rsid w:val="001B4811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B4811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1B481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1B4811"/>
    <w:rPr>
      <w:rFonts w:asciiTheme="majorHAnsi" w:hAnsiTheme="majorHAnsi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ducation.vic.gov.au/school/principals/spag/management/pages/medical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41B7F-7D46-4AF8-8FFE-615A52C52F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02E95-6391-4C8C-BE27-17E0C22E8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157CE-EB23-4FF1-AEB3-C0DA9D3EF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7</cp:revision>
  <dcterms:created xsi:type="dcterms:W3CDTF">2017-02-14T04:16:00Z</dcterms:created>
  <dcterms:modified xsi:type="dcterms:W3CDTF">2018-01-01T05:55:00Z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