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E6A" w:rsidRPr="00EB437F" w:rsidRDefault="00296E6A" w:rsidP="00296E6A">
      <w:pPr>
        <w:jc w:val="both"/>
        <w:rPr>
          <w:rStyle w:val="SubtleReference"/>
        </w:rPr>
      </w:pPr>
      <w:r w:rsidRPr="00EB437F">
        <w:rPr>
          <w:rStyle w:val="SubtleReference"/>
        </w:rPr>
        <w:t>Rationale</w:t>
      </w:r>
    </w:p>
    <w:p w:rsidR="00296E6A" w:rsidRPr="00EB437F" w:rsidRDefault="00296E6A" w:rsidP="00296E6A">
      <w:pPr>
        <w:pStyle w:val="BodyText2"/>
        <w:numPr>
          <w:ilvl w:val="0"/>
          <w:numId w:val="16"/>
        </w:numPr>
        <w:spacing w:after="0" w:line="240" w:lineRule="auto"/>
        <w:ind w:left="426" w:hanging="426"/>
        <w:jc w:val="both"/>
        <w:rPr>
          <w:rFonts w:ascii="Calibri Light" w:hAnsi="Calibri Light" w:cs="Arial"/>
          <w:sz w:val="24"/>
        </w:rPr>
      </w:pPr>
      <w:r w:rsidRPr="00EB437F">
        <w:rPr>
          <w:rFonts w:ascii="Calibri Light" w:hAnsi="Calibri Light" w:cs="Arial"/>
          <w:sz w:val="24"/>
        </w:rPr>
        <w:t>Where the tenure of a leading teacher position is due to conclude, the Principal may decide to:</w:t>
      </w:r>
    </w:p>
    <w:p w:rsidR="00296E6A" w:rsidRPr="00EB437F" w:rsidRDefault="00296E6A" w:rsidP="00296E6A">
      <w:pPr>
        <w:numPr>
          <w:ilvl w:val="0"/>
          <w:numId w:val="17"/>
        </w:numPr>
        <w:ind w:left="1134" w:hanging="425"/>
        <w:jc w:val="both"/>
        <w:rPr>
          <w:rFonts w:ascii="Calibri Light" w:hAnsi="Calibri Light" w:cs="Arial"/>
          <w:sz w:val="24"/>
        </w:rPr>
      </w:pPr>
      <w:r w:rsidRPr="00EB437F">
        <w:rPr>
          <w:rFonts w:ascii="Calibri Light" w:hAnsi="Calibri Light" w:cs="Arial"/>
          <w:sz w:val="24"/>
        </w:rPr>
        <w:t>renew the tenure of the leading teacher for a further period of up to 5 years</w:t>
      </w:r>
    </w:p>
    <w:p w:rsidR="00296E6A" w:rsidRPr="00EB437F" w:rsidRDefault="00296E6A" w:rsidP="00296E6A">
      <w:pPr>
        <w:numPr>
          <w:ilvl w:val="0"/>
          <w:numId w:val="17"/>
        </w:numPr>
        <w:ind w:left="1134" w:hanging="425"/>
        <w:jc w:val="both"/>
        <w:rPr>
          <w:rFonts w:ascii="Calibri Light" w:hAnsi="Calibri Light" w:cs="Arial"/>
          <w:sz w:val="24"/>
        </w:rPr>
      </w:pPr>
      <w:r w:rsidRPr="00EB437F">
        <w:rPr>
          <w:rFonts w:ascii="Calibri Light" w:hAnsi="Calibri Light" w:cs="Arial"/>
          <w:sz w:val="24"/>
        </w:rPr>
        <w:t>advertise the position</w:t>
      </w:r>
    </w:p>
    <w:p w:rsidR="00296E6A" w:rsidRPr="00EB437F" w:rsidRDefault="00296E6A" w:rsidP="00296E6A">
      <w:pPr>
        <w:numPr>
          <w:ilvl w:val="0"/>
          <w:numId w:val="17"/>
        </w:numPr>
        <w:ind w:left="1134" w:hanging="425"/>
        <w:jc w:val="both"/>
        <w:rPr>
          <w:rFonts w:ascii="Calibri Light" w:hAnsi="Calibri Light" w:cs="Arial"/>
          <w:sz w:val="24"/>
        </w:rPr>
      </w:pPr>
      <w:r w:rsidRPr="00EB437F">
        <w:rPr>
          <w:rFonts w:ascii="Calibri Light" w:hAnsi="Calibri Light" w:cs="Arial"/>
          <w:sz w:val="24"/>
        </w:rPr>
        <w:t>abolish the position.</w:t>
      </w:r>
    </w:p>
    <w:p w:rsidR="00296E6A" w:rsidRPr="00EB437F" w:rsidRDefault="00296E6A" w:rsidP="00296E6A">
      <w:pPr>
        <w:numPr>
          <w:ilvl w:val="12"/>
          <w:numId w:val="0"/>
        </w:numPr>
        <w:jc w:val="both"/>
        <w:rPr>
          <w:rFonts w:ascii="Calibri Light" w:hAnsi="Calibri Light" w:cs="Arial"/>
          <w:sz w:val="24"/>
        </w:rPr>
      </w:pPr>
    </w:p>
    <w:p w:rsidR="00296E6A" w:rsidRPr="00EB437F" w:rsidRDefault="00296E6A" w:rsidP="00296E6A">
      <w:pPr>
        <w:numPr>
          <w:ilvl w:val="0"/>
          <w:numId w:val="18"/>
        </w:numPr>
        <w:ind w:left="426" w:hanging="426"/>
        <w:jc w:val="both"/>
        <w:rPr>
          <w:rFonts w:ascii="Calibri Light" w:hAnsi="Calibri Light" w:cs="Arial"/>
          <w:sz w:val="24"/>
        </w:rPr>
      </w:pPr>
      <w:r w:rsidRPr="00EB437F">
        <w:rPr>
          <w:rFonts w:ascii="Calibri Light" w:hAnsi="Calibri Light" w:cs="Arial"/>
          <w:sz w:val="24"/>
        </w:rPr>
        <w:t>The range of factors which may influence the course of action to be taken include</w:t>
      </w:r>
    </w:p>
    <w:p w:rsidR="00296E6A" w:rsidRPr="00EB437F" w:rsidRDefault="00296E6A" w:rsidP="00296E6A">
      <w:pPr>
        <w:numPr>
          <w:ilvl w:val="0"/>
          <w:numId w:val="19"/>
        </w:numPr>
        <w:jc w:val="both"/>
        <w:rPr>
          <w:rFonts w:ascii="Calibri Light" w:hAnsi="Calibri Light" w:cs="Arial"/>
          <w:sz w:val="24"/>
        </w:rPr>
      </w:pPr>
      <w:r w:rsidRPr="00EB437F">
        <w:rPr>
          <w:rFonts w:ascii="Calibri Light" w:hAnsi="Calibri Light" w:cs="Arial"/>
          <w:sz w:val="24"/>
        </w:rPr>
        <w:t>changes in the workforce plan</w:t>
      </w:r>
    </w:p>
    <w:p w:rsidR="00296E6A" w:rsidRPr="00EB437F" w:rsidRDefault="00296E6A" w:rsidP="00296E6A">
      <w:pPr>
        <w:numPr>
          <w:ilvl w:val="0"/>
          <w:numId w:val="19"/>
        </w:numPr>
        <w:jc w:val="both"/>
        <w:rPr>
          <w:rFonts w:ascii="Calibri Light" w:hAnsi="Calibri Light" w:cs="Arial"/>
          <w:sz w:val="24"/>
        </w:rPr>
      </w:pPr>
      <w:r w:rsidRPr="00EB437F">
        <w:rPr>
          <w:rFonts w:ascii="Calibri Light" w:hAnsi="Calibri Light" w:cs="Arial"/>
          <w:sz w:val="24"/>
        </w:rPr>
        <w:t>changes in the structure of the school’s staffing profile</w:t>
      </w:r>
    </w:p>
    <w:p w:rsidR="00296E6A" w:rsidRPr="00EB437F" w:rsidRDefault="00296E6A" w:rsidP="00296E6A">
      <w:pPr>
        <w:numPr>
          <w:ilvl w:val="0"/>
          <w:numId w:val="19"/>
        </w:numPr>
        <w:jc w:val="both"/>
        <w:rPr>
          <w:rFonts w:ascii="Calibri Light" w:hAnsi="Calibri Light" w:cs="Arial"/>
          <w:sz w:val="24"/>
        </w:rPr>
      </w:pPr>
      <w:r w:rsidRPr="00EB437F">
        <w:rPr>
          <w:rFonts w:ascii="Calibri Light" w:hAnsi="Calibri Light" w:cs="Arial"/>
          <w:sz w:val="24"/>
        </w:rPr>
        <w:t>changes to school strategic plan</w:t>
      </w:r>
    </w:p>
    <w:p w:rsidR="00296E6A" w:rsidRPr="00EB437F" w:rsidRDefault="00296E6A" w:rsidP="00296E6A">
      <w:pPr>
        <w:numPr>
          <w:ilvl w:val="0"/>
          <w:numId w:val="19"/>
        </w:numPr>
        <w:jc w:val="both"/>
        <w:rPr>
          <w:rFonts w:ascii="Calibri Light" w:hAnsi="Calibri Light" w:cs="Arial"/>
          <w:sz w:val="24"/>
        </w:rPr>
      </w:pPr>
      <w:r w:rsidRPr="00EB437F">
        <w:rPr>
          <w:rFonts w:ascii="Calibri Light" w:hAnsi="Calibri Light" w:cs="Arial"/>
          <w:sz w:val="24"/>
        </w:rPr>
        <w:t>a desire to broaden the applicant field</w:t>
      </w:r>
    </w:p>
    <w:p w:rsidR="00296E6A" w:rsidRPr="00EB437F" w:rsidRDefault="00296E6A" w:rsidP="00296E6A">
      <w:pPr>
        <w:numPr>
          <w:ilvl w:val="0"/>
          <w:numId w:val="19"/>
        </w:numPr>
        <w:jc w:val="both"/>
        <w:rPr>
          <w:rFonts w:ascii="Calibri Light" w:hAnsi="Calibri Light" w:cs="Arial"/>
          <w:sz w:val="24"/>
        </w:rPr>
      </w:pPr>
      <w:r w:rsidRPr="00EB437F">
        <w:rPr>
          <w:rFonts w:ascii="Calibri Light" w:hAnsi="Calibri Light" w:cs="Arial"/>
          <w:sz w:val="24"/>
        </w:rPr>
        <w:t>a desire to increase the diversity within the leadership profile</w:t>
      </w:r>
    </w:p>
    <w:p w:rsidR="00296E6A" w:rsidRPr="00EB437F" w:rsidRDefault="00296E6A" w:rsidP="00296E6A">
      <w:pPr>
        <w:numPr>
          <w:ilvl w:val="0"/>
          <w:numId w:val="19"/>
        </w:numPr>
        <w:jc w:val="both"/>
        <w:rPr>
          <w:rFonts w:ascii="Calibri Light" w:hAnsi="Calibri Light" w:cs="Arial"/>
          <w:sz w:val="24"/>
        </w:rPr>
      </w:pPr>
      <w:r w:rsidRPr="00EB437F">
        <w:rPr>
          <w:rFonts w:ascii="Calibri Light" w:hAnsi="Calibri Light" w:cs="Arial"/>
          <w:sz w:val="24"/>
        </w:rPr>
        <w:t>a change in the work value of the position.</w:t>
      </w:r>
    </w:p>
    <w:p w:rsidR="00296E6A" w:rsidRPr="00EB437F" w:rsidRDefault="00296E6A" w:rsidP="00296E6A">
      <w:pPr>
        <w:numPr>
          <w:ilvl w:val="12"/>
          <w:numId w:val="0"/>
        </w:numPr>
        <w:jc w:val="both"/>
        <w:rPr>
          <w:rFonts w:ascii="Calibri Light" w:hAnsi="Calibri Light" w:cs="Arial"/>
          <w:sz w:val="24"/>
        </w:rPr>
      </w:pPr>
    </w:p>
    <w:p w:rsidR="00296E6A" w:rsidRPr="00EB437F" w:rsidRDefault="00296E6A" w:rsidP="00296E6A">
      <w:pPr>
        <w:jc w:val="both"/>
        <w:rPr>
          <w:rStyle w:val="SubtleReference"/>
        </w:rPr>
      </w:pPr>
      <w:r w:rsidRPr="00EB437F">
        <w:rPr>
          <w:rStyle w:val="SubtleReference"/>
        </w:rPr>
        <w:t>Aims</w:t>
      </w:r>
    </w:p>
    <w:p w:rsidR="00296E6A" w:rsidRPr="00EB437F" w:rsidRDefault="001432F3" w:rsidP="00296E6A">
      <w:pPr>
        <w:numPr>
          <w:ilvl w:val="0"/>
          <w:numId w:val="20"/>
        </w:numPr>
        <w:ind w:left="426" w:hanging="426"/>
        <w:jc w:val="both"/>
        <w:rPr>
          <w:rFonts w:ascii="Calibri Light" w:hAnsi="Calibri Light" w:cs="Arial"/>
          <w:sz w:val="24"/>
        </w:rPr>
      </w:pPr>
      <w:r w:rsidRPr="00EB437F">
        <w:rPr>
          <w:rFonts w:ascii="Calibri Light" w:hAnsi="Calibri Light" w:cs="Arial"/>
          <w:sz w:val="24"/>
        </w:rPr>
        <w:t>To ensure staff at</w:t>
      </w:r>
      <w:r w:rsidR="00296E6A" w:rsidRPr="00EB437F">
        <w:rPr>
          <w:rFonts w:ascii="Calibri Light" w:hAnsi="Calibri Light" w:cs="Arial"/>
          <w:sz w:val="24"/>
        </w:rPr>
        <w:t xml:space="preserve"> </w:t>
      </w:r>
      <w:r w:rsidRPr="00EB437F">
        <w:rPr>
          <w:rFonts w:ascii="Calibri Light" w:hAnsi="Calibri Light" w:cs="Arial"/>
          <w:sz w:val="24"/>
        </w:rPr>
        <w:t>Charles La Trobe P-12 College</w:t>
      </w:r>
      <w:r w:rsidR="00296E6A" w:rsidRPr="00EB437F">
        <w:rPr>
          <w:rFonts w:ascii="Calibri Light" w:hAnsi="Calibri Light" w:cs="Arial"/>
          <w:sz w:val="24"/>
        </w:rPr>
        <w:t xml:space="preserve"> understand the policy in relation to renewal of tenure, or otherwise, of Leading Teacher positions.</w:t>
      </w:r>
    </w:p>
    <w:p w:rsidR="00296E6A" w:rsidRPr="00EB437F" w:rsidRDefault="00296E6A" w:rsidP="00296E6A">
      <w:pPr>
        <w:pStyle w:val="BodyText2"/>
        <w:numPr>
          <w:ilvl w:val="0"/>
          <w:numId w:val="20"/>
        </w:numPr>
        <w:spacing w:after="0" w:line="240" w:lineRule="auto"/>
        <w:ind w:left="426" w:hanging="426"/>
        <w:jc w:val="both"/>
        <w:rPr>
          <w:rFonts w:ascii="Calibri Light" w:hAnsi="Calibri Light" w:cs="Arial"/>
          <w:sz w:val="24"/>
        </w:rPr>
      </w:pPr>
      <w:r w:rsidRPr="00EB437F">
        <w:rPr>
          <w:rFonts w:ascii="Calibri Light" w:hAnsi="Calibri Light" w:cs="Arial"/>
          <w:sz w:val="24"/>
        </w:rPr>
        <w:t>To ensure Leading Teacher positions are considered in terms of renewal, advertisement or abolition following consideration of the factors set out above.</w:t>
      </w:r>
    </w:p>
    <w:p w:rsidR="00296E6A" w:rsidRPr="00EB437F" w:rsidRDefault="00296E6A" w:rsidP="00296E6A">
      <w:pPr>
        <w:numPr>
          <w:ilvl w:val="12"/>
          <w:numId w:val="0"/>
        </w:numPr>
        <w:jc w:val="both"/>
        <w:rPr>
          <w:rFonts w:ascii="Calibri Light" w:hAnsi="Calibri Light" w:cs="Arial"/>
          <w:b/>
          <w:sz w:val="24"/>
          <w:u w:val="single"/>
        </w:rPr>
      </w:pPr>
    </w:p>
    <w:p w:rsidR="00296E6A" w:rsidRPr="00EB437F" w:rsidRDefault="00296E6A" w:rsidP="00296E6A">
      <w:pPr>
        <w:numPr>
          <w:ilvl w:val="12"/>
          <w:numId w:val="0"/>
        </w:numPr>
        <w:jc w:val="both"/>
        <w:rPr>
          <w:rStyle w:val="SubtleReference"/>
        </w:rPr>
      </w:pPr>
      <w:r w:rsidRPr="00EB437F">
        <w:rPr>
          <w:rStyle w:val="SubtleReference"/>
        </w:rPr>
        <w:t xml:space="preserve">Implementation </w:t>
      </w:r>
    </w:p>
    <w:p w:rsidR="00296E6A" w:rsidRPr="00EB437F" w:rsidRDefault="00296E6A" w:rsidP="00296E6A">
      <w:pPr>
        <w:numPr>
          <w:ilvl w:val="0"/>
          <w:numId w:val="21"/>
        </w:numPr>
        <w:ind w:left="426" w:hanging="426"/>
        <w:jc w:val="both"/>
        <w:rPr>
          <w:rFonts w:ascii="Calibri Light" w:hAnsi="Calibri Light" w:cs="Arial"/>
          <w:sz w:val="24"/>
          <w:lang w:val="en-US"/>
        </w:rPr>
      </w:pPr>
      <w:r w:rsidRPr="00EB437F">
        <w:rPr>
          <w:rFonts w:ascii="Calibri Light" w:hAnsi="Calibri Light" w:cs="Arial"/>
          <w:sz w:val="24"/>
          <w:lang w:val="en-US"/>
        </w:rPr>
        <w:t xml:space="preserve">Six months prior to the expiration of any </w:t>
      </w:r>
      <w:r w:rsidRPr="00EB437F">
        <w:rPr>
          <w:rFonts w:ascii="Calibri Light" w:hAnsi="Calibri Light" w:cs="Arial"/>
          <w:sz w:val="24"/>
        </w:rPr>
        <w:t xml:space="preserve">Leading Teacher </w:t>
      </w:r>
      <w:r w:rsidRPr="00EB437F">
        <w:rPr>
          <w:rFonts w:ascii="Calibri Light" w:hAnsi="Calibri Light" w:cs="Arial"/>
          <w:sz w:val="24"/>
          <w:lang w:val="en-US"/>
        </w:rPr>
        <w:t>position, the need for the position will be reviewed using the school’s consultative framework.</w:t>
      </w:r>
    </w:p>
    <w:p w:rsidR="00296E6A" w:rsidRPr="00EB437F" w:rsidRDefault="00296E6A" w:rsidP="00296E6A">
      <w:pPr>
        <w:numPr>
          <w:ilvl w:val="0"/>
          <w:numId w:val="21"/>
        </w:numPr>
        <w:ind w:left="426" w:hanging="426"/>
        <w:jc w:val="both"/>
        <w:rPr>
          <w:rFonts w:ascii="Calibri Light" w:hAnsi="Calibri Light" w:cs="Arial"/>
          <w:sz w:val="24"/>
          <w:lang w:val="en-US"/>
        </w:rPr>
      </w:pPr>
      <w:r w:rsidRPr="00EB437F">
        <w:rPr>
          <w:rFonts w:ascii="Calibri Light" w:hAnsi="Calibri Light" w:cs="Arial"/>
          <w:sz w:val="24"/>
          <w:lang w:val="en-US"/>
        </w:rPr>
        <w:t>Where it is determined that a position be abolished, the incumbent shall be informed no later than four months befor</w:t>
      </w:r>
      <w:r w:rsidR="001432F3" w:rsidRPr="00EB437F">
        <w:rPr>
          <w:rFonts w:ascii="Calibri Light" w:hAnsi="Calibri Light" w:cs="Arial"/>
          <w:sz w:val="24"/>
          <w:lang w:val="en-US"/>
        </w:rPr>
        <w:t>e the expiration of the tenure.</w:t>
      </w:r>
      <w:r w:rsidRPr="00EB437F">
        <w:rPr>
          <w:rFonts w:ascii="Calibri Light" w:hAnsi="Calibri Light" w:cs="Arial"/>
          <w:sz w:val="24"/>
          <w:lang w:val="en-US"/>
        </w:rPr>
        <w:t xml:space="preserve"> It is considered that this provides reasonable time for the incumbent to explore leadership opportunities elsewhere if he/she wishes to continue in a leadership role.</w:t>
      </w:r>
    </w:p>
    <w:p w:rsidR="00296E6A" w:rsidRPr="00EB437F" w:rsidRDefault="00296E6A" w:rsidP="00296E6A">
      <w:pPr>
        <w:numPr>
          <w:ilvl w:val="0"/>
          <w:numId w:val="21"/>
        </w:numPr>
        <w:ind w:left="426" w:hanging="426"/>
        <w:jc w:val="both"/>
        <w:rPr>
          <w:rFonts w:ascii="Calibri Light" w:hAnsi="Calibri Light" w:cs="Arial"/>
          <w:sz w:val="24"/>
          <w:lang w:val="en-US"/>
        </w:rPr>
      </w:pPr>
      <w:r w:rsidRPr="00EB437F">
        <w:rPr>
          <w:rFonts w:ascii="Calibri Light" w:hAnsi="Calibri Light" w:cs="Arial"/>
          <w:sz w:val="24"/>
          <w:lang w:val="en-US"/>
        </w:rPr>
        <w:t>Where it is determined that the position is to be renewed, the following will apply:</w:t>
      </w:r>
    </w:p>
    <w:p w:rsidR="00296E6A" w:rsidRPr="00EB437F" w:rsidRDefault="00296E6A" w:rsidP="00296E6A">
      <w:pPr>
        <w:numPr>
          <w:ilvl w:val="0"/>
          <w:numId w:val="22"/>
        </w:numPr>
        <w:jc w:val="both"/>
        <w:rPr>
          <w:rFonts w:ascii="Calibri Light" w:hAnsi="Calibri Light" w:cs="Arial"/>
          <w:b/>
          <w:sz w:val="24"/>
        </w:rPr>
      </w:pPr>
      <w:r w:rsidRPr="00EB437F">
        <w:rPr>
          <w:rFonts w:ascii="Calibri Light" w:hAnsi="Calibri Light" w:cs="Arial"/>
          <w:sz w:val="24"/>
        </w:rPr>
        <w:t>Not less than four months prior to the expiry date of the Leading Teacher’s tenure, the Principal will meet with him/her to discuss tenure renewal.  The Leading Teacher may wish to have a colleague present at this meeting.</w:t>
      </w:r>
    </w:p>
    <w:p w:rsidR="00296E6A" w:rsidRPr="00EB437F" w:rsidRDefault="00296E6A" w:rsidP="00296E6A">
      <w:pPr>
        <w:numPr>
          <w:ilvl w:val="0"/>
          <w:numId w:val="23"/>
        </w:numPr>
        <w:ind w:left="426" w:hanging="426"/>
        <w:jc w:val="both"/>
        <w:rPr>
          <w:rFonts w:ascii="Calibri Light" w:hAnsi="Calibri Light" w:cs="Arial"/>
          <w:sz w:val="24"/>
        </w:rPr>
      </w:pPr>
      <w:r w:rsidRPr="00EB437F">
        <w:rPr>
          <w:rFonts w:ascii="Calibri Light" w:hAnsi="Calibri Light" w:cs="Arial"/>
          <w:sz w:val="24"/>
        </w:rPr>
        <w:t>The outcome of this meeting will be one of the following:</w:t>
      </w:r>
    </w:p>
    <w:p w:rsidR="00296E6A" w:rsidRPr="00EB437F" w:rsidRDefault="00296E6A" w:rsidP="00296E6A">
      <w:pPr>
        <w:numPr>
          <w:ilvl w:val="1"/>
          <w:numId w:val="25"/>
        </w:numPr>
        <w:ind w:left="1134" w:hanging="425"/>
        <w:jc w:val="both"/>
        <w:rPr>
          <w:rFonts w:ascii="Calibri Light" w:hAnsi="Calibri Light" w:cs="Arial"/>
          <w:b/>
          <w:sz w:val="24"/>
        </w:rPr>
      </w:pPr>
      <w:r w:rsidRPr="00EB437F">
        <w:rPr>
          <w:rFonts w:ascii="Calibri Light" w:hAnsi="Calibri Light" w:cs="Arial"/>
          <w:sz w:val="24"/>
        </w:rPr>
        <w:t>The tenure will be renewed for a specified period of up to five years</w:t>
      </w:r>
    </w:p>
    <w:p w:rsidR="00296E6A" w:rsidRPr="00EB437F" w:rsidRDefault="00296E6A" w:rsidP="00296E6A">
      <w:pPr>
        <w:numPr>
          <w:ilvl w:val="1"/>
          <w:numId w:val="25"/>
        </w:numPr>
        <w:ind w:left="1134" w:hanging="425"/>
        <w:jc w:val="both"/>
        <w:rPr>
          <w:rFonts w:ascii="Calibri Light" w:hAnsi="Calibri Light" w:cs="Arial"/>
          <w:sz w:val="24"/>
        </w:rPr>
      </w:pPr>
      <w:r w:rsidRPr="00EB437F">
        <w:rPr>
          <w:rFonts w:ascii="Calibri Light" w:hAnsi="Calibri Light" w:cs="Arial"/>
          <w:sz w:val="24"/>
        </w:rPr>
        <w:t>The Principal and the Leading Teacher cannot agree on renewal (the length of time) and the position is to be advertised.</w:t>
      </w:r>
    </w:p>
    <w:p w:rsidR="00296E6A" w:rsidRPr="00EB437F" w:rsidRDefault="00296E6A" w:rsidP="00296E6A">
      <w:pPr>
        <w:numPr>
          <w:ilvl w:val="0"/>
          <w:numId w:val="23"/>
        </w:numPr>
        <w:ind w:left="426" w:hanging="426"/>
        <w:jc w:val="both"/>
        <w:rPr>
          <w:rFonts w:ascii="Calibri Light" w:hAnsi="Calibri Light" w:cs="Arial"/>
          <w:sz w:val="24"/>
        </w:rPr>
      </w:pPr>
      <w:r w:rsidRPr="00EB437F">
        <w:rPr>
          <w:rFonts w:ascii="Calibri Light" w:hAnsi="Calibri Light" w:cs="Arial"/>
          <w:sz w:val="24"/>
        </w:rPr>
        <w:t>Where tenure is renewed the Leading Teacher will be informed in writing, including the period of renewal.</w:t>
      </w:r>
    </w:p>
    <w:p w:rsidR="00296E6A" w:rsidRPr="00EB437F" w:rsidRDefault="00296E6A" w:rsidP="00296E6A">
      <w:pPr>
        <w:numPr>
          <w:ilvl w:val="0"/>
          <w:numId w:val="26"/>
        </w:numPr>
        <w:ind w:left="426" w:hanging="426"/>
        <w:jc w:val="both"/>
        <w:rPr>
          <w:rFonts w:ascii="Calibri Light" w:hAnsi="Calibri Light"/>
          <w:sz w:val="24"/>
        </w:rPr>
      </w:pPr>
      <w:r w:rsidRPr="00EB437F">
        <w:rPr>
          <w:rFonts w:ascii="Calibri Light" w:hAnsi="Calibri Light"/>
          <w:sz w:val="24"/>
        </w:rPr>
        <w:t xml:space="preserve">Where the Principal determines not to renew the tenure or, is unable to reach agreement on the duration of the tenure, the Principal will advise the Leading Teacher of the decision in writing not less than four months before the expiry date of the tenure and that action will be taken to appoint the Leading Teacher as an </w:t>
      </w:r>
      <w:r w:rsidRPr="00EB437F">
        <w:rPr>
          <w:rFonts w:ascii="Calibri Light" w:hAnsi="Calibri Light"/>
          <w:i/>
          <w:sz w:val="24"/>
        </w:rPr>
        <w:t xml:space="preserve">expert teacher </w:t>
      </w:r>
      <w:r w:rsidRPr="00EB437F">
        <w:rPr>
          <w:rFonts w:ascii="Calibri Light" w:hAnsi="Calibri Light"/>
          <w:sz w:val="24"/>
        </w:rPr>
        <w:t>within the school at the maximum salary level.</w:t>
      </w:r>
    </w:p>
    <w:p w:rsidR="00296E6A" w:rsidRPr="00EB437F" w:rsidRDefault="00296E6A" w:rsidP="00296E6A">
      <w:pPr>
        <w:numPr>
          <w:ilvl w:val="0"/>
          <w:numId w:val="26"/>
        </w:numPr>
        <w:ind w:left="426" w:hanging="426"/>
        <w:jc w:val="both"/>
        <w:rPr>
          <w:rFonts w:ascii="Calibri Light" w:hAnsi="Calibri Light"/>
          <w:sz w:val="24"/>
        </w:rPr>
      </w:pPr>
      <w:r w:rsidRPr="00EB437F">
        <w:rPr>
          <w:rFonts w:ascii="Calibri Light" w:hAnsi="Calibri Light"/>
          <w:sz w:val="24"/>
        </w:rPr>
        <w:lastRenderedPageBreak/>
        <w:t>In exceptional circumstances, where issues emerge within the last four months of the tenure period, the Principal shall provide the maximum possible notice of non-renewal.</w:t>
      </w:r>
    </w:p>
    <w:p w:rsidR="00296E6A" w:rsidRPr="00EB437F" w:rsidRDefault="00296E6A" w:rsidP="00296E6A">
      <w:pPr>
        <w:numPr>
          <w:ilvl w:val="0"/>
          <w:numId w:val="26"/>
        </w:numPr>
        <w:ind w:left="426" w:hanging="426"/>
        <w:jc w:val="both"/>
        <w:rPr>
          <w:rFonts w:ascii="Calibri Light" w:hAnsi="Calibri Light"/>
          <w:sz w:val="24"/>
        </w:rPr>
      </w:pPr>
      <w:r w:rsidRPr="00EB437F">
        <w:rPr>
          <w:rFonts w:ascii="Calibri Light" w:hAnsi="Calibri Light"/>
          <w:sz w:val="24"/>
        </w:rPr>
        <w:t xml:space="preserve">At the conclusion of any tenured period the </w:t>
      </w:r>
      <w:hyperlink r:id="rId10" w:history="1">
        <w:r w:rsidRPr="00EB437F">
          <w:rPr>
            <w:rStyle w:val="Hyperlink"/>
            <w:rFonts w:ascii="Calibri Light" w:hAnsi="Calibri Light" w:cs="Arial"/>
            <w:sz w:val="24"/>
          </w:rPr>
          <w:t xml:space="preserve">decision </w:t>
        </w:r>
      </w:hyperlink>
      <w:r w:rsidRPr="00EB437F">
        <w:rPr>
          <w:rFonts w:ascii="Calibri Light" w:hAnsi="Calibri Light"/>
          <w:sz w:val="24"/>
        </w:rPr>
        <w:t>relating to the position will be recorded and placed on the teacher’s personnel file with a copy provided to the teacher.</w:t>
      </w:r>
    </w:p>
    <w:p w:rsidR="00296E6A" w:rsidRPr="00EB437F" w:rsidRDefault="00296E6A" w:rsidP="00296E6A">
      <w:pPr>
        <w:ind w:left="426"/>
        <w:jc w:val="both"/>
        <w:rPr>
          <w:rFonts w:ascii="Calibri Light" w:hAnsi="Calibri Light"/>
          <w:sz w:val="24"/>
        </w:rPr>
      </w:pPr>
      <w:bookmarkStart w:id="0" w:name="H3N4000CA"/>
    </w:p>
    <w:p w:rsidR="00296E6A" w:rsidRPr="00EB437F" w:rsidRDefault="00296E6A" w:rsidP="00296E6A">
      <w:pPr>
        <w:jc w:val="both"/>
        <w:rPr>
          <w:rStyle w:val="SubtleReference"/>
        </w:rPr>
      </w:pPr>
      <w:r w:rsidRPr="00EB437F">
        <w:rPr>
          <w:rStyle w:val="SubtleReference"/>
        </w:rPr>
        <w:t>Grievances</w:t>
      </w:r>
      <w:bookmarkEnd w:id="0"/>
    </w:p>
    <w:p w:rsidR="00296E6A" w:rsidRPr="00EB437F" w:rsidRDefault="00296E6A" w:rsidP="00296E6A">
      <w:pPr>
        <w:jc w:val="both"/>
        <w:rPr>
          <w:rFonts w:ascii="Calibri Light" w:hAnsi="Calibri Light" w:cs="Arial"/>
          <w:sz w:val="24"/>
        </w:rPr>
      </w:pPr>
      <w:r w:rsidRPr="00EB437F">
        <w:rPr>
          <w:rFonts w:ascii="Calibri Light" w:hAnsi="Calibri Light" w:cs="Arial"/>
          <w:sz w:val="24"/>
        </w:rPr>
        <w:t xml:space="preserve">A Leading Teacher may seek a review of the renewal decision through the Merit Protection Boards in accordance with the appropriate </w:t>
      </w:r>
      <w:hyperlink r:id="rId11" w:history="1">
        <w:r w:rsidRPr="00EB437F">
          <w:rPr>
            <w:rStyle w:val="Hyperlink"/>
            <w:rFonts w:ascii="Calibri Light" w:hAnsi="Calibri Light" w:cs="Arial"/>
            <w:sz w:val="24"/>
          </w:rPr>
          <w:t>Ministerial Order</w:t>
        </w:r>
      </w:hyperlink>
      <w:r w:rsidRPr="00EB437F">
        <w:rPr>
          <w:rFonts w:ascii="Calibri Light" w:hAnsi="Calibri Light" w:cs="Arial"/>
          <w:sz w:val="24"/>
        </w:rPr>
        <w:t>. The only grounds for review of a non-renewal decision are that the renewal process was procedurally deficient or that the decision is demonstrably inconsistent with the evidence presented. The Merit Protection Boards will either:</w:t>
      </w:r>
    </w:p>
    <w:p w:rsidR="00296E6A" w:rsidRPr="00EB437F" w:rsidRDefault="00296E6A" w:rsidP="00296E6A">
      <w:pPr>
        <w:numPr>
          <w:ilvl w:val="0"/>
          <w:numId w:val="27"/>
        </w:numPr>
        <w:jc w:val="both"/>
        <w:rPr>
          <w:rFonts w:ascii="Calibri Light" w:hAnsi="Calibri Light" w:cs="Arial"/>
          <w:sz w:val="24"/>
        </w:rPr>
      </w:pPr>
      <w:r w:rsidRPr="00EB437F">
        <w:rPr>
          <w:rFonts w:ascii="Calibri Light" w:hAnsi="Calibri Light" w:cs="Arial"/>
          <w:sz w:val="24"/>
        </w:rPr>
        <w:t>disallow the grievance and confirm the renewal decision; or</w:t>
      </w:r>
    </w:p>
    <w:p w:rsidR="00296E6A" w:rsidRPr="00EB437F" w:rsidRDefault="00296E6A" w:rsidP="00296E6A">
      <w:pPr>
        <w:numPr>
          <w:ilvl w:val="0"/>
          <w:numId w:val="27"/>
        </w:numPr>
        <w:jc w:val="both"/>
        <w:rPr>
          <w:rFonts w:ascii="Calibri Light" w:hAnsi="Calibri Light" w:cs="Arial"/>
          <w:sz w:val="24"/>
        </w:rPr>
      </w:pPr>
      <w:r w:rsidRPr="00EB437F">
        <w:rPr>
          <w:rFonts w:ascii="Calibri Light" w:hAnsi="Calibri Light" w:cs="Arial"/>
          <w:sz w:val="24"/>
        </w:rPr>
        <w:t>uphold the grievance and direct that the procedural deficiency in the renewal process be corrected; or</w:t>
      </w:r>
    </w:p>
    <w:p w:rsidR="00296E6A" w:rsidRPr="00EB437F" w:rsidRDefault="00296E6A" w:rsidP="00296E6A">
      <w:pPr>
        <w:numPr>
          <w:ilvl w:val="0"/>
          <w:numId w:val="27"/>
        </w:numPr>
        <w:jc w:val="both"/>
        <w:rPr>
          <w:rFonts w:ascii="Calibri Light" w:hAnsi="Calibri Light" w:cs="Arial"/>
          <w:sz w:val="24"/>
        </w:rPr>
      </w:pPr>
      <w:r w:rsidRPr="00EB437F">
        <w:rPr>
          <w:rFonts w:ascii="Calibri Light" w:hAnsi="Calibri Light" w:cs="Arial"/>
          <w:sz w:val="24"/>
        </w:rPr>
        <w:t>uphold the grievance and direct that the renewal decision be reconsidered.</w:t>
      </w:r>
    </w:p>
    <w:p w:rsidR="00296E6A" w:rsidRPr="00EB437F" w:rsidRDefault="00296E6A" w:rsidP="00296E6A">
      <w:pPr>
        <w:jc w:val="both"/>
        <w:rPr>
          <w:rFonts w:ascii="Calibri Light" w:hAnsi="Calibri Light" w:cs="Arial"/>
          <w:sz w:val="24"/>
        </w:rPr>
      </w:pPr>
    </w:p>
    <w:p w:rsidR="00296E6A" w:rsidRPr="00105C96" w:rsidRDefault="00296E6A" w:rsidP="00296E6A">
      <w:pPr>
        <w:jc w:val="both"/>
        <w:rPr>
          <w:rStyle w:val="SubtleReference"/>
          <w:rFonts w:cs="Calibri Light"/>
        </w:rPr>
      </w:pPr>
      <w:r w:rsidRPr="00105C96">
        <w:rPr>
          <w:rStyle w:val="SubtleReference"/>
          <w:rFonts w:cs="Calibri Light"/>
        </w:rPr>
        <w:t>Evaluation</w:t>
      </w:r>
    </w:p>
    <w:p w:rsidR="00296E6A" w:rsidRPr="00105C96" w:rsidRDefault="00296E6A" w:rsidP="00296E6A">
      <w:pPr>
        <w:jc w:val="both"/>
        <w:rPr>
          <w:rFonts w:ascii="Calibri Light" w:hAnsi="Calibri Light" w:cs="Calibri Light"/>
          <w:sz w:val="24"/>
        </w:rPr>
      </w:pPr>
      <w:r w:rsidRPr="00105C96">
        <w:rPr>
          <w:rFonts w:ascii="Calibri Light" w:hAnsi="Calibri Light" w:cs="Calibri Light"/>
          <w:sz w:val="24"/>
        </w:rPr>
        <w:t>This policy will be reviewed as part of NSA’s three-year review cycle (January 2018) or if guidelines change.</w:t>
      </w:r>
    </w:p>
    <w:p w:rsidR="00105C96" w:rsidRPr="00105C96" w:rsidRDefault="00105C96" w:rsidP="00105C96">
      <w:pPr>
        <w:jc w:val="both"/>
        <w:rPr>
          <w:rStyle w:val="SubtleReference"/>
          <w:rFonts w:cs="Calibri Light"/>
        </w:rPr>
      </w:pPr>
    </w:p>
    <w:p w:rsidR="00105C96" w:rsidRPr="00105C96" w:rsidRDefault="00105C96" w:rsidP="00105C96">
      <w:pPr>
        <w:jc w:val="both"/>
        <w:rPr>
          <w:rStyle w:val="SubtleReference"/>
          <w:rFonts w:cs="Calibri Light"/>
        </w:rPr>
      </w:pPr>
      <w:r w:rsidRPr="00105C96">
        <w:rPr>
          <w:rStyle w:val="SubtleReference"/>
          <w:rFonts w:cs="Calibri Light"/>
        </w:rPr>
        <w:t>Ratification</w:t>
      </w:r>
    </w:p>
    <w:p w:rsidR="00296E6A" w:rsidRPr="00105C96" w:rsidRDefault="00105C96" w:rsidP="00105C96">
      <w:pPr>
        <w:jc w:val="both"/>
        <w:rPr>
          <w:rFonts w:ascii="Calibri Light" w:hAnsi="Calibri Light" w:cs="Calibri Light"/>
          <w:sz w:val="24"/>
        </w:rPr>
      </w:pPr>
      <w:r w:rsidRPr="00105C96">
        <w:rPr>
          <w:rFonts w:ascii="Calibri Light" w:hAnsi="Calibri Light" w:cs="Calibri Light"/>
          <w:sz w:val="24"/>
        </w:rPr>
        <w:t xml:space="preserve">This policy </w:t>
      </w:r>
      <w:r w:rsidRPr="00105C96">
        <w:rPr>
          <w:rFonts w:ascii="Calibri Light" w:hAnsi="Calibri Light" w:cs="Calibri Light"/>
          <w:sz w:val="24"/>
        </w:rPr>
        <w:t xml:space="preserve">was ratified by the School Council on 15th </w:t>
      </w:r>
      <w:proofErr w:type="gramStart"/>
      <w:r w:rsidRPr="00105C96">
        <w:rPr>
          <w:rFonts w:ascii="Calibri Light" w:hAnsi="Calibri Light" w:cs="Calibri Light"/>
          <w:sz w:val="24"/>
        </w:rPr>
        <w:t>February,</w:t>
      </w:r>
      <w:proofErr w:type="gramEnd"/>
      <w:r w:rsidRPr="00105C96">
        <w:rPr>
          <w:rFonts w:ascii="Calibri Light" w:hAnsi="Calibri Light" w:cs="Calibri Light"/>
          <w:sz w:val="24"/>
        </w:rPr>
        <w:t xml:space="preserve"> 2018.</w:t>
      </w:r>
    </w:p>
    <w:p w:rsidR="00105C96" w:rsidRPr="00105C96" w:rsidRDefault="00105C96" w:rsidP="00296E6A">
      <w:pPr>
        <w:jc w:val="both"/>
        <w:rPr>
          <w:rStyle w:val="SubtleReference"/>
          <w:rFonts w:cs="Calibri Light"/>
        </w:rPr>
      </w:pPr>
    </w:p>
    <w:p w:rsidR="00296E6A" w:rsidRPr="00105C96" w:rsidRDefault="002706C2" w:rsidP="00296E6A">
      <w:pPr>
        <w:jc w:val="both"/>
        <w:rPr>
          <w:rStyle w:val="SubtleReference"/>
          <w:rFonts w:cs="Calibri Light"/>
        </w:rPr>
      </w:pPr>
      <w:r w:rsidRPr="00105C96">
        <w:rPr>
          <w:rStyle w:val="SubtleReference"/>
          <w:rFonts w:cs="Calibri Light"/>
        </w:rPr>
        <w:t>References</w:t>
      </w:r>
      <w:r w:rsidR="00296E6A" w:rsidRPr="00105C96">
        <w:rPr>
          <w:rStyle w:val="SubtleReference"/>
          <w:rFonts w:cs="Calibri Light"/>
        </w:rPr>
        <w:t xml:space="preserve"> </w:t>
      </w:r>
    </w:p>
    <w:p w:rsidR="001D494E" w:rsidRPr="00105C96" w:rsidRDefault="00296E6A" w:rsidP="00105C96">
      <w:pPr>
        <w:rPr>
          <w:rStyle w:val="Hyperlink"/>
          <w:rFonts w:ascii="Calibri Light" w:hAnsi="Calibri Light" w:cs="Calibri Light"/>
          <w:color w:val="auto"/>
          <w:sz w:val="24"/>
          <w:u w:val="none"/>
        </w:rPr>
      </w:pPr>
      <w:r w:rsidRPr="00105C96">
        <w:rPr>
          <w:rFonts w:ascii="Calibri Light" w:hAnsi="Calibri Light" w:cs="Calibri Light"/>
          <w:sz w:val="24"/>
        </w:rPr>
        <w:t>DET – Human Resources,</w:t>
      </w:r>
      <w:r w:rsidR="00105C96">
        <w:rPr>
          <w:rFonts w:ascii="Calibri Light" w:hAnsi="Calibri Light" w:cs="Calibri Light"/>
          <w:sz w:val="24"/>
        </w:rPr>
        <w:t xml:space="preserve"> </w:t>
      </w:r>
      <w:hyperlink r:id="rId12" w:history="1">
        <w:r w:rsidR="00105C96" w:rsidRPr="008744E6">
          <w:rPr>
            <w:rStyle w:val="Hyperlink"/>
            <w:rFonts w:ascii="Calibri Light" w:hAnsi="Calibri Light" w:cs="Calibri Light"/>
            <w:sz w:val="24"/>
          </w:rPr>
          <w:t>http://www.education.vic.gov.au/school/principal</w:t>
        </w:r>
        <w:bookmarkStart w:id="1" w:name="_GoBack"/>
        <w:bookmarkEnd w:id="1"/>
        <w:r w:rsidR="00105C96" w:rsidRPr="008744E6">
          <w:rPr>
            <w:rStyle w:val="Hyperlink"/>
            <w:rFonts w:ascii="Calibri Light" w:hAnsi="Calibri Light" w:cs="Calibri Light"/>
            <w:sz w:val="24"/>
          </w:rPr>
          <w:t>s/hr/Pages/default.aspx</w:t>
        </w:r>
      </w:hyperlink>
    </w:p>
    <w:sectPr w:rsidR="001D494E" w:rsidRPr="00105C96" w:rsidSect="00C865E7">
      <w:headerReference w:type="default" r:id="rId13"/>
      <w:footerReference w:type="default" r:id="rId14"/>
      <w:pgSz w:w="11906" w:h="16838"/>
      <w:pgMar w:top="1247" w:right="1247" w:bottom="397" w:left="1247" w:header="709"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6DB" w:rsidRDefault="002736DB">
      <w:r>
        <w:separator/>
      </w:r>
    </w:p>
  </w:endnote>
  <w:endnote w:type="continuationSeparator" w:id="0">
    <w:p w:rsidR="002736DB" w:rsidRDefault="0027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393512"/>
      <w:docPartObj>
        <w:docPartGallery w:val="Page Numbers (Bottom of Page)"/>
        <w:docPartUnique/>
      </w:docPartObj>
    </w:sdtPr>
    <w:sdtEndPr>
      <w:rPr>
        <w:rFonts w:ascii="Calibri Light" w:hAnsi="Calibri Light" w:cs="Calibri Light"/>
        <w:noProof/>
      </w:rPr>
    </w:sdtEndPr>
    <w:sdtContent>
      <w:p w:rsidR="00F977DD" w:rsidRPr="00C865E7" w:rsidRDefault="00EB437F" w:rsidP="00C865E7">
        <w:pPr>
          <w:pStyle w:val="Footer"/>
          <w:jc w:val="center"/>
          <w:rPr>
            <w:rFonts w:ascii="Calibri Light" w:hAnsi="Calibri Light" w:cs="Calibri Light"/>
          </w:rPr>
        </w:pPr>
        <w:r w:rsidRPr="00C865E7">
          <w:rPr>
            <w:rFonts w:ascii="Calibri Light" w:hAnsi="Calibri Light" w:cs="Calibri Light"/>
          </w:rPr>
          <w:fldChar w:fldCharType="begin"/>
        </w:r>
        <w:r w:rsidRPr="00C865E7">
          <w:rPr>
            <w:rFonts w:ascii="Calibri Light" w:hAnsi="Calibri Light" w:cs="Calibri Light"/>
          </w:rPr>
          <w:instrText xml:space="preserve"> PAGE   \* MERGEFORMAT </w:instrText>
        </w:r>
        <w:r w:rsidRPr="00C865E7">
          <w:rPr>
            <w:rFonts w:ascii="Calibri Light" w:hAnsi="Calibri Light" w:cs="Calibri Light"/>
          </w:rPr>
          <w:fldChar w:fldCharType="separate"/>
        </w:r>
        <w:r w:rsidR="00C865E7">
          <w:rPr>
            <w:rFonts w:ascii="Calibri Light" w:hAnsi="Calibri Light" w:cs="Calibri Light"/>
            <w:noProof/>
          </w:rPr>
          <w:t>2</w:t>
        </w:r>
        <w:r w:rsidRPr="00C865E7">
          <w:rPr>
            <w:rFonts w:ascii="Calibri Light" w:hAnsi="Calibri Light" w:cs="Calibri Ligh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6DB" w:rsidRDefault="002736DB">
      <w:r>
        <w:separator/>
      </w:r>
    </w:p>
  </w:footnote>
  <w:footnote w:type="continuationSeparator" w:id="0">
    <w:p w:rsidR="002736DB" w:rsidRDefault="0027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759"/>
      <w:gridCol w:w="2643"/>
    </w:tblGrid>
    <w:tr w:rsidR="00EB437F" w:rsidTr="00105C96">
      <w:trPr>
        <w:trHeight w:val="1691"/>
      </w:trPr>
      <w:tc>
        <w:tcPr>
          <w:tcW w:w="6912" w:type="dxa"/>
          <w:vAlign w:val="center"/>
        </w:tcPr>
        <w:p w:rsidR="00EB437F" w:rsidRPr="00314CD7" w:rsidRDefault="00EB437F" w:rsidP="00105C96">
          <w:pPr>
            <w:pStyle w:val="Title"/>
            <w:ind w:left="0"/>
          </w:pPr>
          <w:r w:rsidRPr="00105C96">
            <w:rPr>
              <w:rFonts w:ascii="Calibri Light" w:hAnsi="Calibri Light"/>
              <w:b w:val="0"/>
              <w:sz w:val="36"/>
              <w:szCs w:val="32"/>
              <w:u w:val="none"/>
            </w:rPr>
            <w:t>LEADING TEACHER TENURE POLICY</w:t>
          </w:r>
        </w:p>
      </w:tc>
      <w:tc>
        <w:tcPr>
          <w:tcW w:w="2694" w:type="dxa"/>
        </w:tcPr>
        <w:p w:rsidR="00EB437F" w:rsidRDefault="00EB437F" w:rsidP="00EB437F">
          <w:pPr>
            <w:pStyle w:val="Title"/>
            <w:jc w:val="right"/>
          </w:pPr>
          <w:r>
            <w:rPr>
              <w:noProof/>
              <w:lang w:eastAsia="en-AU"/>
            </w:rPr>
            <w:drawing>
              <wp:anchor distT="0" distB="0" distL="114300" distR="114300" simplePos="0" relativeHeight="251659264" behindDoc="0" locked="0" layoutInCell="1" allowOverlap="1" wp14:anchorId="56A7E2E9" wp14:editId="01B8F471">
                <wp:simplePos x="0" y="0"/>
                <wp:positionH relativeFrom="column">
                  <wp:posOffset>324485</wp:posOffset>
                </wp:positionH>
                <wp:positionV relativeFrom="paragraph">
                  <wp:posOffset>59055</wp:posOffset>
                </wp:positionV>
                <wp:extent cx="908322"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EB437F" w:rsidRPr="00EB437F" w:rsidRDefault="00EB437F" w:rsidP="00EB4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01EB4"/>
    <w:multiLevelType w:val="hybridMultilevel"/>
    <w:tmpl w:val="40BE34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59275A"/>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abstractNum w:abstractNumId="3" w15:restartNumberingAfterBreak="0">
    <w:nsid w:val="14245567"/>
    <w:multiLevelType w:val="hybridMultilevel"/>
    <w:tmpl w:val="52723A94"/>
    <w:lvl w:ilvl="0" w:tplc="FFFFFFFF">
      <w:start w:val="1"/>
      <w:numFmt w:val="bullet"/>
      <w:lvlText w:val=""/>
      <w:legacy w:legacy="1" w:legacySpace="0" w:legacyIndent="283"/>
      <w:lvlJc w:val="left"/>
      <w:pPr>
        <w:ind w:left="283" w:hanging="283"/>
      </w:pPr>
      <w:rPr>
        <w:rFonts w:ascii="Symbol" w:hAnsi="Symbol" w:hint="default"/>
      </w:rPr>
    </w:lvl>
    <w:lvl w:ilvl="1" w:tplc="24367232">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2C4A2B"/>
    <w:multiLevelType w:val="hybridMultilevel"/>
    <w:tmpl w:val="5332FA8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17A96375"/>
    <w:multiLevelType w:val="hybridMultilevel"/>
    <w:tmpl w:val="B45801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27977EE0"/>
    <w:multiLevelType w:val="hybridMultilevel"/>
    <w:tmpl w:val="7DC2058A"/>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5E55F2"/>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abstractNum w:abstractNumId="8" w15:restartNumberingAfterBreak="0">
    <w:nsid w:val="2F406694"/>
    <w:multiLevelType w:val="hybridMultilevel"/>
    <w:tmpl w:val="CD724E54"/>
    <w:lvl w:ilvl="0" w:tplc="73FE762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C264144"/>
    <w:multiLevelType w:val="hybridMultilevel"/>
    <w:tmpl w:val="1B98D7CC"/>
    <w:lvl w:ilvl="0" w:tplc="2436723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0716FE8"/>
    <w:multiLevelType w:val="singleLevel"/>
    <w:tmpl w:val="FFFFFFFF"/>
    <w:lvl w:ilvl="0">
      <w:numFmt w:val="bullet"/>
      <w:lvlText w:val=""/>
      <w:legacy w:legacy="1" w:legacySpace="0" w:legacyIndent="360"/>
      <w:lvlJc w:val="left"/>
      <w:pPr>
        <w:ind w:left="1080" w:hanging="360"/>
      </w:pPr>
      <w:rPr>
        <w:rFonts w:ascii="Symbol" w:hAnsi="Symbol" w:hint="default"/>
      </w:rPr>
    </w:lvl>
  </w:abstractNum>
  <w:abstractNum w:abstractNumId="11" w15:restartNumberingAfterBreak="0">
    <w:nsid w:val="480403AF"/>
    <w:multiLevelType w:val="hybridMultilevel"/>
    <w:tmpl w:val="FB64F22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4F4D71FB"/>
    <w:multiLevelType w:val="hybridMultilevel"/>
    <w:tmpl w:val="B3E27C1E"/>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EA2ABB"/>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abstractNum w:abstractNumId="14" w15:restartNumberingAfterBreak="0">
    <w:nsid w:val="5BC97F6F"/>
    <w:multiLevelType w:val="hybridMultilevel"/>
    <w:tmpl w:val="7A32722C"/>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690315"/>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16" w15:restartNumberingAfterBreak="0">
    <w:nsid w:val="5EDD1313"/>
    <w:multiLevelType w:val="hybridMultilevel"/>
    <w:tmpl w:val="824E5E14"/>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CA0D4C"/>
    <w:multiLevelType w:val="hybridMultilevel"/>
    <w:tmpl w:val="80420C62"/>
    <w:lvl w:ilvl="0" w:tplc="2436723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4A43FCA"/>
    <w:multiLevelType w:val="hybridMultilevel"/>
    <w:tmpl w:val="057A7FD6"/>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BD3386"/>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abstractNum w:abstractNumId="20" w15:restartNumberingAfterBreak="0">
    <w:nsid w:val="6FCB14EF"/>
    <w:multiLevelType w:val="hybridMultilevel"/>
    <w:tmpl w:val="A9442170"/>
    <w:lvl w:ilvl="0" w:tplc="2436723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05D5D13"/>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abstractNum w:abstractNumId="22" w15:restartNumberingAfterBreak="0">
    <w:nsid w:val="70983F28"/>
    <w:multiLevelType w:val="singleLevel"/>
    <w:tmpl w:val="FFFFFFFF"/>
    <w:lvl w:ilvl="0">
      <w:numFmt w:val="bullet"/>
      <w:lvlText w:val=""/>
      <w:legacy w:legacy="1" w:legacySpace="0" w:legacyIndent="360"/>
      <w:lvlJc w:val="left"/>
      <w:pPr>
        <w:ind w:left="1080" w:hanging="360"/>
      </w:pPr>
      <w:rPr>
        <w:rFonts w:ascii="Symbol" w:hAnsi="Symbol" w:hint="default"/>
      </w:rPr>
    </w:lvl>
  </w:abstractNum>
  <w:abstractNum w:abstractNumId="23" w15:restartNumberingAfterBreak="0">
    <w:nsid w:val="74A231FA"/>
    <w:multiLevelType w:val="singleLevel"/>
    <w:tmpl w:val="0C090017"/>
    <w:lvl w:ilvl="0">
      <w:start w:val="1"/>
      <w:numFmt w:val="lowerLetter"/>
      <w:lvlText w:val="%1)"/>
      <w:lvlJc w:val="left"/>
      <w:pPr>
        <w:tabs>
          <w:tab w:val="num" w:pos="360"/>
        </w:tabs>
        <w:ind w:left="360" w:hanging="360"/>
      </w:pPr>
    </w:lvl>
  </w:abstractNum>
  <w:abstractNum w:abstractNumId="24" w15:restartNumberingAfterBreak="0">
    <w:nsid w:val="7D200840"/>
    <w:multiLevelType w:val="hybridMultilevel"/>
    <w:tmpl w:val="676AAA5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F36F7E"/>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3">
    <w:abstractNumId w:val="22"/>
  </w:num>
  <w:num w:numId="4">
    <w:abstractNumId w:val="10"/>
  </w:num>
  <w:num w:numId="5">
    <w:abstractNumId w:val="15"/>
  </w:num>
  <w:num w:numId="6">
    <w:abstractNumId w:val="21"/>
  </w:num>
  <w:num w:numId="7">
    <w:abstractNumId w:val="13"/>
  </w:num>
  <w:num w:numId="8">
    <w:abstractNumId w:val="2"/>
  </w:num>
  <w:num w:numId="9">
    <w:abstractNumId w:val="19"/>
  </w:num>
  <w:num w:numId="10">
    <w:abstractNumId w:val="25"/>
  </w:num>
  <w:num w:numId="11">
    <w:abstractNumId w:val="23"/>
  </w:num>
  <w:num w:numId="12">
    <w:abstractNumId w:val="7"/>
  </w:num>
  <w:num w:numId="13">
    <w:abstractNumId w:val="4"/>
  </w:num>
  <w:num w:numId="14">
    <w:abstractNumId w:val="5"/>
  </w:num>
  <w:num w:numId="15">
    <w:abstractNumId w:val="11"/>
  </w:num>
  <w:num w:numId="16">
    <w:abstractNumId w:val="18"/>
  </w:num>
  <w:num w:numId="17">
    <w:abstractNumId w:val="9"/>
  </w:num>
  <w:num w:numId="18">
    <w:abstractNumId w:val="14"/>
  </w:num>
  <w:num w:numId="19">
    <w:abstractNumId w:val="17"/>
  </w:num>
  <w:num w:numId="20">
    <w:abstractNumId w:val="12"/>
  </w:num>
  <w:num w:numId="21">
    <w:abstractNumId w:val="6"/>
  </w:num>
  <w:num w:numId="22">
    <w:abstractNumId w:val="20"/>
  </w:num>
  <w:num w:numId="23">
    <w:abstractNumId w:val="8"/>
  </w:num>
  <w:num w:numId="24">
    <w:abstractNumId w:val="1"/>
  </w:num>
  <w:num w:numId="25">
    <w:abstractNumId w:val="3"/>
  </w:num>
  <w:num w:numId="26">
    <w:abstractNumId w:val="1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CE"/>
    <w:rsid w:val="000E51A3"/>
    <w:rsid w:val="00105C96"/>
    <w:rsid w:val="00135117"/>
    <w:rsid w:val="001432F3"/>
    <w:rsid w:val="00147226"/>
    <w:rsid w:val="001A7312"/>
    <w:rsid w:val="001D494E"/>
    <w:rsid w:val="00265B04"/>
    <w:rsid w:val="002706C2"/>
    <w:rsid w:val="002736DB"/>
    <w:rsid w:val="00296E6A"/>
    <w:rsid w:val="002B2605"/>
    <w:rsid w:val="00306391"/>
    <w:rsid w:val="003D4677"/>
    <w:rsid w:val="003E75B1"/>
    <w:rsid w:val="00424938"/>
    <w:rsid w:val="0047423E"/>
    <w:rsid w:val="00485497"/>
    <w:rsid w:val="006025E3"/>
    <w:rsid w:val="0069134B"/>
    <w:rsid w:val="006A685E"/>
    <w:rsid w:val="006E24AE"/>
    <w:rsid w:val="00761B8B"/>
    <w:rsid w:val="00827B5E"/>
    <w:rsid w:val="009136D9"/>
    <w:rsid w:val="00941F23"/>
    <w:rsid w:val="009A23F5"/>
    <w:rsid w:val="00AB10C9"/>
    <w:rsid w:val="00AB65AA"/>
    <w:rsid w:val="00AC6628"/>
    <w:rsid w:val="00B86AF6"/>
    <w:rsid w:val="00C865E7"/>
    <w:rsid w:val="00E449CE"/>
    <w:rsid w:val="00EB437F"/>
    <w:rsid w:val="00EC7128"/>
    <w:rsid w:val="00EF6E2C"/>
    <w:rsid w:val="00F85CCF"/>
    <w:rsid w:val="00F977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2690E"/>
  <w15:docId w15:val="{8F3B8BA4-D486-4654-BBEE-58FA85C6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4938"/>
    <w:rPr>
      <w:rFonts w:ascii="Cambria" w:hAnsi="Cambria"/>
      <w:sz w:val="22"/>
      <w:szCs w:val="24"/>
      <w:lang w:eastAsia="en-US"/>
    </w:rPr>
  </w:style>
  <w:style w:type="paragraph" w:styleId="Heading1">
    <w:name w:val="heading 1"/>
    <w:basedOn w:val="Normal"/>
    <w:next w:val="Normal"/>
    <w:qFormat/>
    <w:rsid w:val="009136D9"/>
    <w:pPr>
      <w:keepNext/>
      <w:outlineLvl w:val="0"/>
    </w:pPr>
    <w:rPr>
      <w:rFonts w:asciiTheme="majorHAnsi" w:hAnsiTheme="majorHAnsi"/>
      <w:b/>
      <w:smallCaps/>
      <w:sz w:val="24"/>
    </w:rPr>
  </w:style>
  <w:style w:type="paragraph" w:styleId="Heading2">
    <w:name w:val="heading 2"/>
    <w:basedOn w:val="Normal"/>
    <w:next w:val="Normal"/>
    <w:qFormat/>
    <w:rsid w:val="00AC6628"/>
    <w:pPr>
      <w:keepNext/>
      <w:jc w:val="center"/>
      <w:outlineLvl w:val="1"/>
    </w:pPr>
    <w:rPr>
      <w:rFonts w:ascii="Verdana" w:hAnsi="Verdana"/>
      <w:b/>
      <w:sz w:val="20"/>
      <w:szCs w:val="20"/>
    </w:rPr>
  </w:style>
  <w:style w:type="paragraph" w:styleId="Heading3">
    <w:name w:val="heading 3"/>
    <w:basedOn w:val="Normal"/>
    <w:next w:val="Normal"/>
    <w:qFormat/>
    <w:rsid w:val="00AC6628"/>
    <w:pPr>
      <w:keepNext/>
      <w:ind w:left="709"/>
      <w:outlineLvl w:val="2"/>
    </w:pPr>
    <w:rPr>
      <w:b/>
      <w:szCs w:val="20"/>
      <w:u w:val="single"/>
    </w:rPr>
  </w:style>
  <w:style w:type="paragraph" w:styleId="Heading4">
    <w:name w:val="heading 4"/>
    <w:basedOn w:val="Normal"/>
    <w:next w:val="Normal"/>
    <w:qFormat/>
    <w:rsid w:val="00AC6628"/>
    <w:pPr>
      <w:keepNext/>
      <w:ind w:left="709"/>
      <w:jc w:val="both"/>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6628"/>
    <w:pPr>
      <w:tabs>
        <w:tab w:val="center" w:pos="4153"/>
        <w:tab w:val="right" w:pos="8306"/>
      </w:tabs>
    </w:pPr>
  </w:style>
  <w:style w:type="paragraph" w:styleId="Footer">
    <w:name w:val="footer"/>
    <w:basedOn w:val="Normal"/>
    <w:link w:val="FooterChar"/>
    <w:uiPriority w:val="99"/>
    <w:rsid w:val="00AC6628"/>
    <w:pPr>
      <w:tabs>
        <w:tab w:val="center" w:pos="4153"/>
        <w:tab w:val="right" w:pos="8306"/>
      </w:tabs>
    </w:pPr>
  </w:style>
  <w:style w:type="character" w:styleId="Hyperlink">
    <w:name w:val="Hyperlink"/>
    <w:basedOn w:val="DefaultParagraphFont"/>
    <w:rsid w:val="00AC6628"/>
    <w:rPr>
      <w:color w:val="0000FF"/>
      <w:u w:val="single"/>
    </w:rPr>
  </w:style>
  <w:style w:type="character" w:styleId="PageNumber">
    <w:name w:val="page number"/>
    <w:basedOn w:val="DefaultParagraphFont"/>
    <w:rsid w:val="00AC6628"/>
  </w:style>
  <w:style w:type="character" w:styleId="FollowedHyperlink">
    <w:name w:val="FollowedHyperlink"/>
    <w:basedOn w:val="DefaultParagraphFont"/>
    <w:rsid w:val="00AC6628"/>
    <w:rPr>
      <w:color w:val="800080"/>
      <w:u w:val="single"/>
    </w:rPr>
  </w:style>
  <w:style w:type="paragraph" w:styleId="Title">
    <w:name w:val="Title"/>
    <w:basedOn w:val="Normal"/>
    <w:link w:val="TitleChar"/>
    <w:qFormat/>
    <w:rsid w:val="00AC6628"/>
    <w:pPr>
      <w:ind w:left="709"/>
      <w:jc w:val="center"/>
    </w:pPr>
    <w:rPr>
      <w:b/>
      <w:u w:val="single"/>
    </w:rPr>
  </w:style>
  <w:style w:type="paragraph" w:styleId="Subtitle">
    <w:name w:val="Subtitle"/>
    <w:basedOn w:val="Normal"/>
    <w:qFormat/>
    <w:rsid w:val="00AC6628"/>
    <w:pPr>
      <w:ind w:left="709"/>
      <w:jc w:val="center"/>
    </w:pPr>
    <w:rPr>
      <w:b/>
    </w:rPr>
  </w:style>
  <w:style w:type="paragraph" w:styleId="BodyText">
    <w:name w:val="Body Text"/>
    <w:basedOn w:val="Normal"/>
    <w:rsid w:val="00AC6628"/>
    <w:rPr>
      <w:rFonts w:ascii="Verdana" w:hAnsi="Verdana"/>
      <w:sz w:val="20"/>
      <w:szCs w:val="20"/>
    </w:rPr>
  </w:style>
  <w:style w:type="paragraph" w:styleId="BodyTextIndent">
    <w:name w:val="Body Text Indent"/>
    <w:basedOn w:val="Normal"/>
    <w:rsid w:val="00AC6628"/>
    <w:pPr>
      <w:ind w:left="709"/>
      <w:jc w:val="both"/>
    </w:pPr>
    <w:rPr>
      <w:szCs w:val="20"/>
    </w:rPr>
  </w:style>
  <w:style w:type="paragraph" w:styleId="ListParagraph">
    <w:name w:val="List Paragraph"/>
    <w:basedOn w:val="Normal"/>
    <w:uiPriority w:val="34"/>
    <w:qFormat/>
    <w:rsid w:val="00B86AF6"/>
    <w:pPr>
      <w:ind w:left="720"/>
      <w:contextualSpacing/>
    </w:pPr>
  </w:style>
  <w:style w:type="table" w:styleId="TableGrid">
    <w:name w:val="Table Grid"/>
    <w:basedOn w:val="TableNormal"/>
    <w:rsid w:val="00761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B5E"/>
    <w:rPr>
      <w:rFonts w:ascii="Tahoma" w:hAnsi="Tahoma" w:cs="Tahoma"/>
      <w:sz w:val="16"/>
      <w:szCs w:val="16"/>
    </w:rPr>
  </w:style>
  <w:style w:type="character" w:customStyle="1" w:styleId="BalloonTextChar">
    <w:name w:val="Balloon Text Char"/>
    <w:basedOn w:val="DefaultParagraphFont"/>
    <w:link w:val="BalloonText"/>
    <w:rsid w:val="00827B5E"/>
    <w:rPr>
      <w:rFonts w:ascii="Tahoma" w:hAnsi="Tahoma" w:cs="Tahoma"/>
      <w:sz w:val="16"/>
      <w:szCs w:val="16"/>
      <w:lang w:eastAsia="en-US"/>
    </w:rPr>
  </w:style>
  <w:style w:type="character" w:styleId="Emphasis">
    <w:name w:val="Emphasis"/>
    <w:basedOn w:val="DefaultParagraphFont"/>
    <w:qFormat/>
    <w:rsid w:val="009136D9"/>
    <w:rPr>
      <w:rFonts w:asciiTheme="majorHAnsi" w:hAnsiTheme="majorHAnsi"/>
      <w:i/>
      <w:iCs/>
    </w:rPr>
  </w:style>
  <w:style w:type="paragraph" w:styleId="BodyText2">
    <w:name w:val="Body Text 2"/>
    <w:basedOn w:val="Normal"/>
    <w:link w:val="BodyText2Char"/>
    <w:semiHidden/>
    <w:unhideWhenUsed/>
    <w:rsid w:val="00296E6A"/>
    <w:pPr>
      <w:spacing w:after="120" w:line="480" w:lineRule="auto"/>
    </w:pPr>
  </w:style>
  <w:style w:type="character" w:customStyle="1" w:styleId="BodyText2Char">
    <w:name w:val="Body Text 2 Char"/>
    <w:basedOn w:val="DefaultParagraphFont"/>
    <w:link w:val="BodyText2"/>
    <w:semiHidden/>
    <w:rsid w:val="00296E6A"/>
    <w:rPr>
      <w:rFonts w:ascii="Cambria" w:hAnsi="Cambria"/>
      <w:sz w:val="22"/>
      <w:szCs w:val="24"/>
      <w:lang w:eastAsia="en-US"/>
    </w:rPr>
  </w:style>
  <w:style w:type="character" w:styleId="SubtleReference">
    <w:name w:val="Subtle Reference"/>
    <w:basedOn w:val="DefaultParagraphFont"/>
    <w:uiPriority w:val="31"/>
    <w:qFormat/>
    <w:rsid w:val="00EB437F"/>
    <w:rPr>
      <w:rFonts w:ascii="Calibri Light" w:hAnsi="Calibri Light"/>
      <w:smallCaps/>
      <w:color w:val="auto"/>
      <w:sz w:val="24"/>
      <w:u w:val="single"/>
    </w:rPr>
  </w:style>
  <w:style w:type="character" w:customStyle="1" w:styleId="TitleChar">
    <w:name w:val="Title Char"/>
    <w:basedOn w:val="DefaultParagraphFont"/>
    <w:link w:val="Title"/>
    <w:rsid w:val="00EB437F"/>
    <w:rPr>
      <w:rFonts w:ascii="Cambria" w:hAnsi="Cambria"/>
      <w:b/>
      <w:sz w:val="22"/>
      <w:szCs w:val="24"/>
      <w:u w:val="single"/>
      <w:lang w:eastAsia="en-US"/>
    </w:rPr>
  </w:style>
  <w:style w:type="character" w:customStyle="1" w:styleId="FooterChar">
    <w:name w:val="Footer Char"/>
    <w:basedOn w:val="DefaultParagraphFont"/>
    <w:link w:val="Footer"/>
    <w:uiPriority w:val="99"/>
    <w:rsid w:val="00EB437F"/>
    <w:rPr>
      <w:rFonts w:ascii="Cambria" w:hAnsi="Cambria"/>
      <w:sz w:val="22"/>
      <w:szCs w:val="24"/>
      <w:lang w:eastAsia="en-US"/>
    </w:rPr>
  </w:style>
  <w:style w:type="character" w:styleId="UnresolvedMention">
    <w:name w:val="Unresolved Mention"/>
    <w:basedOn w:val="DefaultParagraphFont"/>
    <w:uiPriority w:val="99"/>
    <w:semiHidden/>
    <w:unhideWhenUsed/>
    <w:rsid w:val="00105C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234313">
      <w:bodyDiv w:val="1"/>
      <w:marLeft w:val="0"/>
      <w:marRight w:val="0"/>
      <w:marTop w:val="0"/>
      <w:marBottom w:val="0"/>
      <w:divBdr>
        <w:top w:val="none" w:sz="0" w:space="0" w:color="auto"/>
        <w:left w:val="none" w:sz="0" w:space="0" w:color="auto"/>
        <w:bottom w:val="none" w:sz="0" w:space="0" w:color="auto"/>
        <w:right w:val="none" w:sz="0" w:space="0" w:color="auto"/>
      </w:divBdr>
    </w:div>
    <w:div w:id="181818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school/principals/hr/Page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web.vic.gov.au/edulibrary/public/hr/policy/Ministerial_Order_199.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duweb.vic.gov.au/edulibrary/public/hr/procedures/LEADTEACHTRENPR.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7B121-0536-48D3-9A81-5D4D5806B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C7DE3-C56C-4CF9-AD83-1188F1E05F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2BC855-FB9E-44E1-9A2B-0549B8C20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Sample School Policies</vt:lpstr>
    </vt:vector>
  </TitlesOfParts>
  <Company>seaHall</Company>
  <LinksUpToDate>false</LinksUpToDate>
  <CharactersWithSpaces>3992</CharactersWithSpaces>
  <SharedDoc>false</SharedDoc>
  <HLinks>
    <vt:vector size="12" baseType="variant">
      <vt:variant>
        <vt:i4>1245276</vt:i4>
      </vt:variant>
      <vt:variant>
        <vt:i4>3</vt:i4>
      </vt:variant>
      <vt:variant>
        <vt:i4>0</vt:i4>
      </vt:variant>
      <vt:variant>
        <vt:i4>5</vt:i4>
      </vt:variant>
      <vt:variant>
        <vt:lpwstr>http://www.eduweb.vic.gov.au/referenceguide/pdf/7-13.pdf</vt:lpwstr>
      </vt:variant>
      <vt:variant>
        <vt:lpwstr/>
      </vt:variant>
      <vt:variant>
        <vt:i4>720907</vt:i4>
      </vt:variant>
      <vt:variant>
        <vt:i4>0</vt:i4>
      </vt:variant>
      <vt:variant>
        <vt:i4>0</vt:i4>
      </vt:variant>
      <vt:variant>
        <vt:i4>5</vt:i4>
      </vt:variant>
      <vt:variant>
        <vt:lpwstr>http://www.gsat.edu.au/-asciv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School Policies</dc:title>
  <dc:creator>seaHall</dc:creator>
  <cp:lastModifiedBy>Anna Rigoni</cp:lastModifiedBy>
  <cp:revision>9</cp:revision>
  <cp:lastPrinted>2014-05-14T06:05:00Z</cp:lastPrinted>
  <dcterms:created xsi:type="dcterms:W3CDTF">2016-05-30T04:10:00Z</dcterms:created>
  <dcterms:modified xsi:type="dcterms:W3CDTF">2018-01-01T05:53:00Z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