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B08" w:rsidRPr="0092456D" w:rsidRDefault="00876B08" w:rsidP="00D173DD">
      <w:pPr>
        <w:pStyle w:val="NoSpacing"/>
        <w:ind w:right="-46"/>
        <w:jc w:val="both"/>
        <w:rPr>
          <w:rStyle w:val="SubtleReference"/>
        </w:rPr>
      </w:pPr>
      <w:r w:rsidRPr="0092456D">
        <w:rPr>
          <w:rStyle w:val="SubtleReference"/>
        </w:rPr>
        <w:t>Rationale</w:t>
      </w:r>
    </w:p>
    <w:p w:rsidR="008C65E2" w:rsidRDefault="00876B08" w:rsidP="00D173DD">
      <w:pPr>
        <w:pStyle w:val="NoSpacing"/>
        <w:numPr>
          <w:ilvl w:val="0"/>
          <w:numId w:val="19"/>
        </w:numPr>
        <w:ind w:left="426" w:right="-46" w:hanging="426"/>
        <w:jc w:val="both"/>
        <w:rPr>
          <w:rFonts w:asciiTheme="majorHAnsi" w:hAnsiTheme="majorHAnsi"/>
          <w:sz w:val="24"/>
          <w:szCs w:val="24"/>
          <w:lang w:val="en-US"/>
        </w:rPr>
      </w:pPr>
      <w:r w:rsidRPr="0092456D">
        <w:rPr>
          <w:rFonts w:asciiTheme="majorHAnsi" w:hAnsiTheme="majorHAnsi"/>
          <w:sz w:val="24"/>
          <w:szCs w:val="24"/>
          <w:lang w:val="en-US"/>
        </w:rPr>
        <w:t xml:space="preserve">The incidence of overweight and obesity in children and young people in Australia has increased dramatically in recent years, with one in four children overweight or obese.  This has serious long-term and short-term health consequences. </w:t>
      </w:r>
    </w:p>
    <w:p w:rsidR="00876B08" w:rsidRPr="0092456D" w:rsidRDefault="00876B08" w:rsidP="00D173DD">
      <w:pPr>
        <w:pStyle w:val="NoSpacing"/>
        <w:numPr>
          <w:ilvl w:val="0"/>
          <w:numId w:val="19"/>
        </w:numPr>
        <w:ind w:left="426" w:right="-46" w:hanging="426"/>
        <w:jc w:val="both"/>
        <w:rPr>
          <w:rFonts w:asciiTheme="majorHAnsi" w:hAnsiTheme="majorHAnsi"/>
          <w:sz w:val="24"/>
          <w:szCs w:val="24"/>
          <w:lang w:val="en-US"/>
        </w:rPr>
      </w:pPr>
      <w:r w:rsidRPr="0092456D">
        <w:rPr>
          <w:rFonts w:asciiTheme="majorHAnsi" w:hAnsiTheme="majorHAnsi"/>
          <w:sz w:val="24"/>
          <w:szCs w:val="24"/>
          <w:lang w:val="en-US"/>
        </w:rPr>
        <w:t>Excess weight gain in children is usually a result of eating too much food or the wrong type of food, combined with low energy expenditure – doing too little physical activity or being inactive for too much of the day.</w:t>
      </w:r>
    </w:p>
    <w:p w:rsidR="00876B08" w:rsidRPr="0092456D" w:rsidRDefault="00876B08" w:rsidP="00D173DD">
      <w:pPr>
        <w:pStyle w:val="NoSpacing"/>
        <w:numPr>
          <w:ilvl w:val="0"/>
          <w:numId w:val="19"/>
        </w:numPr>
        <w:ind w:left="426" w:right="-46" w:hanging="426"/>
        <w:jc w:val="both"/>
        <w:rPr>
          <w:rFonts w:asciiTheme="majorHAnsi" w:hAnsiTheme="majorHAnsi"/>
          <w:sz w:val="24"/>
          <w:szCs w:val="24"/>
          <w:lang w:val="en-US"/>
        </w:rPr>
      </w:pPr>
      <w:r w:rsidRPr="0092456D">
        <w:rPr>
          <w:rFonts w:asciiTheme="majorHAnsi" w:hAnsiTheme="majorHAnsi"/>
          <w:sz w:val="24"/>
          <w:szCs w:val="24"/>
          <w:lang w:val="en-US"/>
        </w:rPr>
        <w:t>Nutrition is particularly important in the childhood years, which are a time of rapid growth and development. Healthy eating and a healthy lifestyle assist children to develop and grow to their potential, thus contributing to optimal educational outcomes and a healthy adult life. Furthermore, nutrition during childhood is also important in preventing lifestyle diseases such as obesity, dental disease, Type 2 Diabetes, hypertension and, in later life, osteoporosis, cardiovascular disease and a range of cancers.</w:t>
      </w:r>
    </w:p>
    <w:p w:rsidR="00876B08" w:rsidRPr="0092456D" w:rsidRDefault="00876B08" w:rsidP="00D173DD">
      <w:pPr>
        <w:pStyle w:val="NoSpacing"/>
        <w:numPr>
          <w:ilvl w:val="0"/>
          <w:numId w:val="19"/>
        </w:numPr>
        <w:ind w:left="426" w:right="-46" w:hanging="426"/>
        <w:jc w:val="both"/>
        <w:rPr>
          <w:rFonts w:asciiTheme="majorHAnsi" w:hAnsiTheme="majorHAnsi"/>
          <w:sz w:val="24"/>
          <w:szCs w:val="24"/>
        </w:rPr>
      </w:pPr>
      <w:r w:rsidRPr="0092456D">
        <w:rPr>
          <w:rFonts w:asciiTheme="majorHAnsi" w:hAnsiTheme="majorHAnsi"/>
          <w:sz w:val="24"/>
          <w:szCs w:val="24"/>
        </w:rPr>
        <w:t xml:space="preserve">The Healthy Canteens policy comprises the </w:t>
      </w:r>
      <w:r w:rsidRPr="0092456D">
        <w:rPr>
          <w:rStyle w:val="Emphasis"/>
          <w:rFonts w:asciiTheme="majorHAnsi" w:hAnsiTheme="majorHAnsi" w:cs="Arial"/>
          <w:sz w:val="24"/>
          <w:szCs w:val="24"/>
        </w:rPr>
        <w:t>Healthy Canteen Kit including the School Canteens and Other School Food Services Policy</w:t>
      </w:r>
      <w:r w:rsidRPr="0092456D">
        <w:rPr>
          <w:rFonts w:asciiTheme="majorHAnsi" w:hAnsiTheme="majorHAnsi"/>
          <w:sz w:val="24"/>
          <w:szCs w:val="24"/>
        </w:rPr>
        <w:t xml:space="preserve"> and includes information about the ban on confectionery and high sugar drinks, recommended food categories, nutrition programs and suggested student learning.</w:t>
      </w:r>
    </w:p>
    <w:p w:rsidR="00876B08" w:rsidRPr="0092456D" w:rsidRDefault="00876B08" w:rsidP="00D173DD">
      <w:pPr>
        <w:pStyle w:val="NoSpacing"/>
        <w:numPr>
          <w:ilvl w:val="0"/>
          <w:numId w:val="19"/>
        </w:numPr>
        <w:ind w:left="426" w:right="-46" w:hanging="426"/>
        <w:jc w:val="both"/>
        <w:rPr>
          <w:rFonts w:asciiTheme="majorHAnsi" w:hAnsiTheme="majorHAnsi"/>
          <w:sz w:val="24"/>
          <w:szCs w:val="24"/>
        </w:rPr>
      </w:pPr>
      <w:r w:rsidRPr="0092456D">
        <w:rPr>
          <w:rFonts w:asciiTheme="majorHAnsi" w:hAnsiTheme="majorHAnsi"/>
          <w:sz w:val="24"/>
          <w:szCs w:val="24"/>
        </w:rPr>
        <w:t xml:space="preserve">School Councils must develop health education policies to support the health messages being delivered within the classroom with the input: students, parents and teachers. </w:t>
      </w:r>
    </w:p>
    <w:p w:rsidR="0092456D" w:rsidRPr="0092456D" w:rsidRDefault="0092456D" w:rsidP="00D173DD">
      <w:pPr>
        <w:pStyle w:val="NoSpacing"/>
        <w:ind w:left="426" w:right="-46" w:hanging="426"/>
        <w:jc w:val="both"/>
        <w:rPr>
          <w:rFonts w:asciiTheme="majorHAnsi" w:hAnsiTheme="majorHAnsi"/>
          <w:sz w:val="24"/>
          <w:szCs w:val="24"/>
        </w:rPr>
      </w:pPr>
    </w:p>
    <w:p w:rsidR="00876B08" w:rsidRPr="0092456D" w:rsidRDefault="00876B08" w:rsidP="00D173DD">
      <w:pPr>
        <w:pStyle w:val="NoSpacing"/>
        <w:ind w:left="426" w:right="-46" w:hanging="426"/>
        <w:jc w:val="both"/>
        <w:rPr>
          <w:rStyle w:val="SubtleReference"/>
        </w:rPr>
      </w:pPr>
      <w:r w:rsidRPr="0092456D">
        <w:rPr>
          <w:rStyle w:val="SubtleReference"/>
        </w:rPr>
        <w:t>Purpose</w:t>
      </w:r>
    </w:p>
    <w:p w:rsidR="00876B08" w:rsidRPr="0092456D" w:rsidRDefault="00876B08" w:rsidP="00D173DD">
      <w:pPr>
        <w:pStyle w:val="NoSpacing"/>
        <w:numPr>
          <w:ilvl w:val="0"/>
          <w:numId w:val="19"/>
        </w:numPr>
        <w:ind w:left="426" w:right="-46" w:hanging="426"/>
        <w:jc w:val="both"/>
        <w:rPr>
          <w:rFonts w:asciiTheme="majorHAnsi" w:hAnsiTheme="majorHAnsi"/>
          <w:sz w:val="24"/>
          <w:szCs w:val="24"/>
        </w:rPr>
      </w:pPr>
      <w:r w:rsidRPr="0092456D">
        <w:rPr>
          <w:rFonts w:asciiTheme="majorHAnsi" w:hAnsiTheme="majorHAnsi"/>
          <w:sz w:val="24"/>
          <w:szCs w:val="24"/>
        </w:rPr>
        <w:t>To ensure the school applies a whole-school approach to health education, with teachers playing the central role in the education of students.</w:t>
      </w:r>
    </w:p>
    <w:p w:rsidR="00876B08" w:rsidRPr="0092456D" w:rsidRDefault="008C65E2" w:rsidP="00D173DD">
      <w:pPr>
        <w:pStyle w:val="NoSpacing"/>
        <w:numPr>
          <w:ilvl w:val="0"/>
          <w:numId w:val="19"/>
        </w:numPr>
        <w:ind w:left="426" w:right="-46" w:hanging="426"/>
        <w:jc w:val="both"/>
        <w:rPr>
          <w:rFonts w:asciiTheme="majorHAnsi" w:hAnsiTheme="majorHAnsi"/>
          <w:sz w:val="24"/>
          <w:szCs w:val="24"/>
        </w:rPr>
      </w:pPr>
      <w:r>
        <w:rPr>
          <w:rFonts w:asciiTheme="majorHAnsi" w:hAnsiTheme="majorHAnsi"/>
          <w:sz w:val="24"/>
          <w:szCs w:val="24"/>
        </w:rPr>
        <w:t>To</w:t>
      </w:r>
      <w:r w:rsidR="00876B08" w:rsidRPr="0092456D">
        <w:rPr>
          <w:rFonts w:asciiTheme="majorHAnsi" w:hAnsiTheme="majorHAnsi"/>
          <w:sz w:val="24"/>
          <w:szCs w:val="24"/>
        </w:rPr>
        <w:t xml:space="preserve"> ensure the </w:t>
      </w:r>
      <w:r>
        <w:rPr>
          <w:rFonts w:asciiTheme="majorHAnsi" w:hAnsiTheme="majorHAnsi"/>
          <w:sz w:val="24"/>
          <w:szCs w:val="24"/>
        </w:rPr>
        <w:t xml:space="preserve">School </w:t>
      </w:r>
      <w:r w:rsidR="00876B08" w:rsidRPr="0092456D">
        <w:rPr>
          <w:rFonts w:asciiTheme="majorHAnsi" w:hAnsiTheme="majorHAnsi"/>
          <w:sz w:val="24"/>
          <w:szCs w:val="24"/>
        </w:rPr>
        <w:t xml:space="preserve">Council </w:t>
      </w:r>
      <w:r w:rsidR="00876B08" w:rsidRPr="0092456D">
        <w:rPr>
          <w:rFonts w:asciiTheme="majorHAnsi" w:hAnsiTheme="majorHAnsi" w:cs="Arial"/>
          <w:sz w:val="24"/>
          <w:szCs w:val="24"/>
        </w:rPr>
        <w:t>manages the canteen in line with legislation.</w:t>
      </w:r>
    </w:p>
    <w:p w:rsidR="00876B08" w:rsidRPr="0092456D" w:rsidRDefault="00876B08" w:rsidP="00D173DD">
      <w:pPr>
        <w:pStyle w:val="NoSpacing"/>
        <w:numPr>
          <w:ilvl w:val="0"/>
          <w:numId w:val="19"/>
        </w:numPr>
        <w:ind w:left="426" w:right="-46" w:hanging="426"/>
        <w:jc w:val="both"/>
        <w:rPr>
          <w:rFonts w:asciiTheme="majorHAnsi" w:hAnsiTheme="majorHAnsi"/>
          <w:sz w:val="24"/>
          <w:szCs w:val="24"/>
        </w:rPr>
      </w:pPr>
      <w:r w:rsidRPr="0092456D">
        <w:rPr>
          <w:rFonts w:asciiTheme="majorHAnsi" w:hAnsiTheme="majorHAnsi"/>
          <w:sz w:val="24"/>
          <w:szCs w:val="24"/>
        </w:rPr>
        <w:t>To ensure</w:t>
      </w:r>
      <w:r w:rsidR="00003984" w:rsidRPr="0092456D">
        <w:rPr>
          <w:rFonts w:asciiTheme="majorHAnsi" w:hAnsiTheme="majorHAnsi"/>
          <w:sz w:val="24"/>
          <w:szCs w:val="24"/>
        </w:rPr>
        <w:t xml:space="preserve"> the</w:t>
      </w:r>
      <w:r w:rsidRPr="0092456D">
        <w:rPr>
          <w:rFonts w:asciiTheme="majorHAnsi" w:hAnsiTheme="majorHAnsi"/>
          <w:sz w:val="24"/>
          <w:szCs w:val="24"/>
        </w:rPr>
        <w:t xml:space="preserve"> </w:t>
      </w:r>
      <w:r w:rsidR="00003984" w:rsidRPr="0092456D">
        <w:rPr>
          <w:rFonts w:asciiTheme="majorHAnsi" w:hAnsiTheme="majorHAnsi"/>
          <w:sz w:val="24"/>
          <w:szCs w:val="24"/>
        </w:rPr>
        <w:t>College</w:t>
      </w:r>
      <w:r w:rsidRPr="0092456D">
        <w:rPr>
          <w:rFonts w:asciiTheme="majorHAnsi" w:hAnsiTheme="majorHAnsi"/>
          <w:sz w:val="24"/>
          <w:szCs w:val="24"/>
        </w:rPr>
        <w:t xml:space="preserve"> complies with DET policy and guidelines.</w:t>
      </w:r>
    </w:p>
    <w:p w:rsidR="0092456D" w:rsidRPr="0092456D" w:rsidRDefault="0092456D" w:rsidP="00D173DD">
      <w:pPr>
        <w:pStyle w:val="NoSpacing"/>
        <w:ind w:left="426" w:right="-46" w:hanging="426"/>
        <w:jc w:val="both"/>
        <w:rPr>
          <w:rFonts w:asciiTheme="majorHAnsi" w:hAnsiTheme="majorHAnsi"/>
          <w:noProof/>
          <w:color w:val="336600"/>
          <w:sz w:val="24"/>
          <w:szCs w:val="24"/>
        </w:rPr>
      </w:pPr>
    </w:p>
    <w:p w:rsidR="00876B08" w:rsidRPr="0092456D" w:rsidRDefault="00876B08" w:rsidP="00D173DD">
      <w:pPr>
        <w:pStyle w:val="NoSpacing"/>
        <w:ind w:left="426" w:right="-46" w:hanging="426"/>
        <w:jc w:val="both"/>
        <w:rPr>
          <w:rStyle w:val="SubtleReference"/>
        </w:rPr>
      </w:pPr>
      <w:r w:rsidRPr="0092456D">
        <w:rPr>
          <w:rStyle w:val="SubtleReference"/>
        </w:rPr>
        <w:t xml:space="preserve"> Implementation</w:t>
      </w:r>
    </w:p>
    <w:p w:rsidR="00876B08" w:rsidRPr="0092456D" w:rsidRDefault="00876B08" w:rsidP="00D173DD">
      <w:pPr>
        <w:pStyle w:val="NoSpacing"/>
        <w:numPr>
          <w:ilvl w:val="0"/>
          <w:numId w:val="19"/>
        </w:numPr>
        <w:ind w:left="426" w:right="-46" w:hanging="426"/>
        <w:jc w:val="both"/>
        <w:rPr>
          <w:rFonts w:asciiTheme="majorHAnsi" w:hAnsiTheme="majorHAnsi"/>
          <w:noProof/>
          <w:sz w:val="24"/>
          <w:szCs w:val="24"/>
        </w:rPr>
      </w:pPr>
      <w:r w:rsidRPr="0092456D">
        <w:rPr>
          <w:rFonts w:asciiTheme="majorHAnsi" w:hAnsiTheme="majorHAnsi" w:cs="Arial"/>
          <w:sz w:val="24"/>
          <w:szCs w:val="24"/>
        </w:rPr>
        <w:t>The school will aim to develop a culture in which students actively choose nutritious foods and a healthy lifestyle.</w:t>
      </w:r>
    </w:p>
    <w:p w:rsidR="00876B08" w:rsidRPr="0092456D" w:rsidRDefault="00876B08" w:rsidP="00D173DD">
      <w:pPr>
        <w:pStyle w:val="NoSpacing"/>
        <w:numPr>
          <w:ilvl w:val="0"/>
          <w:numId w:val="19"/>
        </w:numPr>
        <w:ind w:left="426" w:right="-46" w:hanging="426"/>
        <w:jc w:val="both"/>
        <w:rPr>
          <w:rFonts w:asciiTheme="majorHAnsi" w:hAnsiTheme="majorHAnsi"/>
          <w:noProof/>
          <w:sz w:val="24"/>
          <w:szCs w:val="24"/>
        </w:rPr>
      </w:pPr>
      <w:r w:rsidRPr="0092456D">
        <w:rPr>
          <w:rFonts w:asciiTheme="majorHAnsi" w:hAnsiTheme="majorHAnsi"/>
          <w:noProof/>
          <w:sz w:val="24"/>
          <w:szCs w:val="24"/>
        </w:rPr>
        <w:t>As part of the Health and Physical Education domain of the curriculum, the school will promote healthy eating.</w:t>
      </w:r>
    </w:p>
    <w:p w:rsidR="00876B08" w:rsidRPr="0092456D" w:rsidRDefault="00876B08" w:rsidP="00D173DD">
      <w:pPr>
        <w:pStyle w:val="NoSpacing"/>
        <w:numPr>
          <w:ilvl w:val="0"/>
          <w:numId w:val="19"/>
        </w:numPr>
        <w:ind w:left="426" w:right="-46" w:hanging="426"/>
        <w:jc w:val="both"/>
        <w:rPr>
          <w:rFonts w:asciiTheme="majorHAnsi" w:hAnsiTheme="majorHAnsi"/>
          <w:noProof/>
          <w:sz w:val="24"/>
          <w:szCs w:val="24"/>
        </w:rPr>
      </w:pPr>
      <w:r w:rsidRPr="0092456D">
        <w:rPr>
          <w:rFonts w:asciiTheme="majorHAnsi" w:hAnsiTheme="majorHAnsi"/>
          <w:noProof/>
          <w:sz w:val="24"/>
          <w:szCs w:val="24"/>
        </w:rPr>
        <w:t>No confectionery will be available at school.</w:t>
      </w:r>
    </w:p>
    <w:p w:rsidR="00876B08" w:rsidRPr="0092456D" w:rsidRDefault="00876B08" w:rsidP="00D173DD">
      <w:pPr>
        <w:pStyle w:val="NoSpacing"/>
        <w:numPr>
          <w:ilvl w:val="0"/>
          <w:numId w:val="19"/>
        </w:numPr>
        <w:ind w:left="426" w:right="-46" w:hanging="426"/>
        <w:jc w:val="both"/>
        <w:rPr>
          <w:rFonts w:asciiTheme="majorHAnsi" w:hAnsiTheme="majorHAnsi"/>
          <w:noProof/>
          <w:sz w:val="24"/>
          <w:szCs w:val="24"/>
        </w:rPr>
      </w:pPr>
      <w:r w:rsidRPr="0092456D">
        <w:rPr>
          <w:rFonts w:asciiTheme="majorHAnsi" w:hAnsiTheme="majorHAnsi"/>
          <w:noProof/>
          <w:sz w:val="24"/>
          <w:szCs w:val="24"/>
        </w:rPr>
        <w:t>The consumation of sugary drinks will be discouraged.</w:t>
      </w:r>
    </w:p>
    <w:p w:rsidR="00876B08" w:rsidRPr="0092456D" w:rsidRDefault="00876B08" w:rsidP="00D173DD">
      <w:pPr>
        <w:pStyle w:val="NoSpacing"/>
        <w:numPr>
          <w:ilvl w:val="0"/>
          <w:numId w:val="19"/>
        </w:numPr>
        <w:ind w:left="426" w:right="-46" w:hanging="426"/>
        <w:jc w:val="both"/>
        <w:rPr>
          <w:rFonts w:asciiTheme="majorHAnsi" w:hAnsiTheme="majorHAnsi"/>
          <w:noProof/>
          <w:sz w:val="24"/>
          <w:szCs w:val="24"/>
        </w:rPr>
      </w:pPr>
      <w:r w:rsidRPr="0092456D">
        <w:rPr>
          <w:rFonts w:asciiTheme="majorHAnsi" w:hAnsiTheme="majorHAnsi"/>
          <w:noProof/>
          <w:sz w:val="24"/>
          <w:szCs w:val="24"/>
        </w:rPr>
        <w:t>This policy applies to school events such as celebrations, the fete and sports activities.</w:t>
      </w:r>
    </w:p>
    <w:p w:rsidR="00876B08" w:rsidRPr="0092456D" w:rsidRDefault="00876B08" w:rsidP="00D173DD">
      <w:pPr>
        <w:pStyle w:val="NoSpacing"/>
        <w:ind w:left="426" w:right="-46" w:hanging="426"/>
        <w:jc w:val="both"/>
        <w:rPr>
          <w:rFonts w:asciiTheme="majorHAnsi" w:hAnsiTheme="majorHAnsi"/>
          <w:noProof/>
          <w:color w:val="336600"/>
          <w:sz w:val="24"/>
          <w:szCs w:val="24"/>
        </w:rPr>
      </w:pPr>
    </w:p>
    <w:p w:rsidR="008C65E2" w:rsidRDefault="00876B08" w:rsidP="008C65E2">
      <w:pPr>
        <w:pStyle w:val="NoSpacing"/>
        <w:ind w:right="-46"/>
        <w:jc w:val="both"/>
        <w:rPr>
          <w:rStyle w:val="SubtleReference"/>
        </w:rPr>
      </w:pPr>
      <w:r w:rsidRPr="0092456D">
        <w:rPr>
          <w:rStyle w:val="SubtleReference"/>
        </w:rPr>
        <w:t xml:space="preserve"> Evaluation</w:t>
      </w:r>
    </w:p>
    <w:p w:rsidR="00876B08" w:rsidRPr="008C65E2" w:rsidRDefault="00876B08" w:rsidP="008C65E2">
      <w:pPr>
        <w:pStyle w:val="NoSpacing"/>
        <w:ind w:right="-46"/>
        <w:jc w:val="both"/>
        <w:rPr>
          <w:rFonts w:asciiTheme="majorHAnsi" w:hAnsiTheme="majorHAnsi"/>
          <w:smallCaps/>
          <w:sz w:val="24"/>
          <w:u w:val="single"/>
        </w:rPr>
      </w:pPr>
      <w:r w:rsidRPr="0092456D">
        <w:rPr>
          <w:rFonts w:asciiTheme="majorHAnsi" w:hAnsiTheme="majorHAnsi"/>
          <w:sz w:val="24"/>
          <w:szCs w:val="24"/>
        </w:rPr>
        <w:t xml:space="preserve">This policy will be reviewed as part of the school’s three-year review cycle or if guidelines change (latest </w:t>
      </w:r>
      <w:r w:rsidR="00003984" w:rsidRPr="0092456D">
        <w:rPr>
          <w:rFonts w:asciiTheme="majorHAnsi" w:hAnsiTheme="majorHAnsi"/>
          <w:sz w:val="24"/>
          <w:szCs w:val="24"/>
        </w:rPr>
        <w:t xml:space="preserve">DET </w:t>
      </w:r>
      <w:r w:rsidRPr="0092456D">
        <w:rPr>
          <w:rFonts w:asciiTheme="majorHAnsi" w:hAnsiTheme="majorHAnsi"/>
          <w:sz w:val="24"/>
          <w:szCs w:val="24"/>
        </w:rPr>
        <w:t>update early September 2014).</w:t>
      </w:r>
    </w:p>
    <w:p w:rsidR="00876B08" w:rsidRPr="0092456D" w:rsidRDefault="00876B08" w:rsidP="008C65E2">
      <w:pPr>
        <w:pStyle w:val="NoSpacing"/>
        <w:ind w:right="-46"/>
        <w:jc w:val="both"/>
        <w:rPr>
          <w:rFonts w:asciiTheme="majorHAnsi" w:hAnsiTheme="majorHAnsi"/>
          <w:sz w:val="24"/>
          <w:szCs w:val="24"/>
        </w:rPr>
      </w:pPr>
      <w:r w:rsidRPr="0092456D">
        <w:rPr>
          <w:rFonts w:asciiTheme="majorHAnsi" w:hAnsiTheme="majorHAnsi"/>
          <w:sz w:val="24"/>
          <w:szCs w:val="24"/>
        </w:rPr>
        <w:t xml:space="preserve">      </w:t>
      </w:r>
    </w:p>
    <w:p w:rsidR="008C65E2" w:rsidRDefault="008C65E2" w:rsidP="008C65E2">
      <w:pPr>
        <w:pStyle w:val="NoSpacing"/>
        <w:ind w:right="-46"/>
        <w:jc w:val="both"/>
        <w:rPr>
          <w:rStyle w:val="SubtleReference"/>
        </w:rPr>
      </w:pPr>
      <w:r>
        <w:rPr>
          <w:rStyle w:val="SubtleReference"/>
        </w:rPr>
        <w:t>Ratification</w:t>
      </w:r>
    </w:p>
    <w:p w:rsidR="00876B08" w:rsidRPr="008C65E2" w:rsidRDefault="00876B08" w:rsidP="008C65E2">
      <w:pPr>
        <w:pStyle w:val="NoSpacing"/>
        <w:ind w:right="-46"/>
        <w:jc w:val="both"/>
        <w:rPr>
          <w:rFonts w:asciiTheme="majorHAnsi" w:hAnsiTheme="majorHAnsi"/>
          <w:sz w:val="24"/>
          <w:szCs w:val="24"/>
        </w:rPr>
      </w:pPr>
      <w:r w:rsidRPr="008C65E2">
        <w:rPr>
          <w:rFonts w:asciiTheme="majorHAnsi" w:hAnsiTheme="majorHAnsi"/>
          <w:sz w:val="24"/>
          <w:szCs w:val="24"/>
        </w:rPr>
        <w:t xml:space="preserve">This policy was ratified by </w:t>
      </w:r>
      <w:r w:rsidR="00003984" w:rsidRPr="008C65E2">
        <w:rPr>
          <w:rFonts w:asciiTheme="majorHAnsi" w:hAnsiTheme="majorHAnsi"/>
          <w:sz w:val="24"/>
          <w:szCs w:val="24"/>
        </w:rPr>
        <w:t xml:space="preserve">the </w:t>
      </w:r>
      <w:r w:rsidR="002B28B3" w:rsidRPr="008C65E2">
        <w:rPr>
          <w:rFonts w:asciiTheme="majorHAnsi" w:hAnsiTheme="majorHAnsi"/>
          <w:sz w:val="24"/>
          <w:szCs w:val="24"/>
        </w:rPr>
        <w:t>College</w:t>
      </w:r>
      <w:r w:rsidRPr="008C65E2">
        <w:rPr>
          <w:rFonts w:asciiTheme="majorHAnsi" w:hAnsiTheme="majorHAnsi"/>
          <w:sz w:val="24"/>
          <w:szCs w:val="24"/>
        </w:rPr>
        <w:t xml:space="preserve"> Council </w:t>
      </w:r>
      <w:r w:rsidR="00003984" w:rsidRPr="008C65E2">
        <w:rPr>
          <w:rFonts w:asciiTheme="majorHAnsi" w:hAnsiTheme="majorHAnsi"/>
          <w:sz w:val="24"/>
          <w:szCs w:val="24"/>
        </w:rPr>
        <w:t>o</w:t>
      </w:r>
      <w:r w:rsidRPr="008C65E2">
        <w:rPr>
          <w:rFonts w:asciiTheme="majorHAnsi" w:hAnsiTheme="majorHAnsi"/>
          <w:sz w:val="24"/>
          <w:szCs w:val="24"/>
        </w:rPr>
        <w:t>n</w:t>
      </w:r>
      <w:r w:rsidR="008C65E2" w:rsidRPr="008C65E2">
        <w:rPr>
          <w:rFonts w:asciiTheme="majorHAnsi" w:hAnsiTheme="majorHAnsi"/>
          <w:sz w:val="24"/>
          <w:szCs w:val="24"/>
        </w:rPr>
        <w:t xml:space="preserve"> 15th </w:t>
      </w:r>
      <w:proofErr w:type="gramStart"/>
      <w:r w:rsidR="008C65E2" w:rsidRPr="008C65E2">
        <w:rPr>
          <w:rFonts w:asciiTheme="majorHAnsi" w:hAnsiTheme="majorHAnsi"/>
          <w:sz w:val="24"/>
          <w:szCs w:val="24"/>
        </w:rPr>
        <w:t>February,</w:t>
      </w:r>
      <w:proofErr w:type="gramEnd"/>
      <w:r w:rsidR="008C65E2" w:rsidRPr="008C65E2">
        <w:rPr>
          <w:rFonts w:asciiTheme="majorHAnsi" w:hAnsiTheme="majorHAnsi"/>
          <w:sz w:val="24"/>
          <w:szCs w:val="24"/>
        </w:rPr>
        <w:t xml:space="preserve"> 2018.</w:t>
      </w:r>
    </w:p>
    <w:p w:rsidR="00876B08" w:rsidRPr="008C65E2" w:rsidRDefault="00876B08" w:rsidP="008C65E2">
      <w:pPr>
        <w:pStyle w:val="NoSpacing"/>
        <w:ind w:right="-46"/>
        <w:jc w:val="both"/>
        <w:rPr>
          <w:rFonts w:asciiTheme="majorHAnsi" w:hAnsiTheme="majorHAnsi"/>
          <w:sz w:val="24"/>
          <w:szCs w:val="24"/>
        </w:rPr>
      </w:pPr>
    </w:p>
    <w:p w:rsidR="00876B08" w:rsidRPr="008C65E2" w:rsidRDefault="00876B08" w:rsidP="008C65E2">
      <w:pPr>
        <w:pStyle w:val="NoSpacing"/>
        <w:ind w:right="-46"/>
        <w:jc w:val="both"/>
        <w:rPr>
          <w:rStyle w:val="SubtleReference"/>
        </w:rPr>
      </w:pPr>
      <w:r w:rsidRPr="008C65E2">
        <w:rPr>
          <w:rStyle w:val="SubtleReference"/>
        </w:rPr>
        <w:t>References</w:t>
      </w:r>
    </w:p>
    <w:p w:rsidR="00876B08" w:rsidRPr="008C65E2" w:rsidRDefault="00925F66" w:rsidP="008C65E2">
      <w:pPr>
        <w:pStyle w:val="NoSpacing"/>
        <w:ind w:right="-46"/>
        <w:jc w:val="both"/>
        <w:rPr>
          <w:rFonts w:asciiTheme="majorHAnsi" w:hAnsiTheme="majorHAnsi"/>
          <w:sz w:val="24"/>
          <w:szCs w:val="24"/>
        </w:rPr>
      </w:pPr>
      <w:hyperlink r:id="rId10" w:history="1">
        <w:r w:rsidR="00876B08" w:rsidRPr="008C65E2">
          <w:rPr>
            <w:rFonts w:asciiTheme="majorHAnsi" w:hAnsiTheme="majorHAnsi"/>
            <w:sz w:val="24"/>
            <w:szCs w:val="24"/>
          </w:rPr>
          <w:t>www.education.vic/gov.au/school/principals/spag/curriculum/Pages/health.aspx</w:t>
        </w:r>
      </w:hyperlink>
    </w:p>
    <w:p w:rsidR="00365E49" w:rsidRPr="008C65E2" w:rsidRDefault="00925F66" w:rsidP="008C65E2">
      <w:pPr>
        <w:pStyle w:val="NoSpacing"/>
        <w:ind w:right="-46"/>
        <w:jc w:val="both"/>
        <w:rPr>
          <w:rFonts w:asciiTheme="majorHAnsi" w:hAnsiTheme="majorHAnsi"/>
          <w:sz w:val="24"/>
          <w:szCs w:val="24"/>
        </w:rPr>
      </w:pPr>
      <w:hyperlink r:id="rId11" w:history="1">
        <w:r w:rsidR="00876B08" w:rsidRPr="008C65E2">
          <w:rPr>
            <w:rFonts w:asciiTheme="majorHAnsi" w:hAnsiTheme="majorHAnsi"/>
            <w:sz w:val="24"/>
            <w:szCs w:val="24"/>
          </w:rPr>
          <w:t>www.education.vic/gov.au/school/principals/spag/finance/pages/canteen.aspx</w:t>
        </w:r>
      </w:hyperlink>
      <w:r w:rsidR="00876B08" w:rsidRPr="008C65E2">
        <w:rPr>
          <w:rFonts w:asciiTheme="majorHAnsi" w:hAnsiTheme="majorHAnsi"/>
          <w:sz w:val="24"/>
          <w:szCs w:val="24"/>
        </w:rPr>
        <w:t xml:space="preserve">    </w:t>
      </w:r>
    </w:p>
    <w:sectPr w:rsidR="00365E49" w:rsidRPr="008C65E2" w:rsidSect="008C65E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709" w:left="1440" w:header="708"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F66" w:rsidRDefault="00925F66" w:rsidP="0092456D">
      <w:pPr>
        <w:spacing w:after="0" w:line="240" w:lineRule="auto"/>
      </w:pPr>
      <w:r>
        <w:separator/>
      </w:r>
    </w:p>
  </w:endnote>
  <w:endnote w:type="continuationSeparator" w:id="0">
    <w:p w:rsidR="00925F66" w:rsidRDefault="00925F66" w:rsidP="0092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46C" w:rsidRDefault="00B81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303506"/>
      <w:docPartObj>
        <w:docPartGallery w:val="Page Numbers (Bottom of Page)"/>
        <w:docPartUnique/>
      </w:docPartObj>
    </w:sdtPr>
    <w:sdtEndPr>
      <w:rPr>
        <w:noProof/>
      </w:rPr>
    </w:sdtEndPr>
    <w:sdtContent>
      <w:p w:rsidR="0092456D" w:rsidRDefault="0092456D">
        <w:pPr>
          <w:pStyle w:val="Footer"/>
          <w:jc w:val="center"/>
        </w:pPr>
        <w:r>
          <w:fldChar w:fldCharType="begin"/>
        </w:r>
        <w:r>
          <w:instrText xml:space="preserve"> PAGE   \* MERGEFORMAT </w:instrText>
        </w:r>
        <w:r>
          <w:fldChar w:fldCharType="separate"/>
        </w:r>
        <w:r w:rsidR="00B8146C">
          <w:rPr>
            <w:noProof/>
          </w:rPr>
          <w:t>1</w:t>
        </w:r>
        <w:r>
          <w:rPr>
            <w:noProof/>
          </w:rPr>
          <w:fldChar w:fldCharType="end"/>
        </w:r>
      </w:p>
    </w:sdtContent>
  </w:sdt>
  <w:p w:rsidR="0092456D" w:rsidRDefault="00924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46C" w:rsidRDefault="00B81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F66" w:rsidRDefault="00925F66" w:rsidP="0092456D">
      <w:pPr>
        <w:spacing w:after="0" w:line="240" w:lineRule="auto"/>
      </w:pPr>
      <w:r>
        <w:separator/>
      </w:r>
    </w:p>
  </w:footnote>
  <w:footnote w:type="continuationSeparator" w:id="0">
    <w:p w:rsidR="00925F66" w:rsidRDefault="00925F66" w:rsidP="00924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46C" w:rsidRDefault="00B81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508"/>
      <w:gridCol w:w="2508"/>
    </w:tblGrid>
    <w:tr w:rsidR="0092456D" w:rsidTr="008F621D">
      <w:trPr>
        <w:trHeight w:val="1691"/>
      </w:trPr>
      <w:tc>
        <w:tcPr>
          <w:tcW w:w="6912" w:type="dxa"/>
          <w:vAlign w:val="center"/>
        </w:tcPr>
        <w:p w:rsidR="0092456D" w:rsidRPr="0092456D" w:rsidRDefault="0092456D" w:rsidP="008F621D">
          <w:pPr>
            <w:pStyle w:val="Title"/>
            <w:rPr>
              <w:b w:val="0"/>
              <w:sz w:val="36"/>
              <w:szCs w:val="36"/>
            </w:rPr>
          </w:pPr>
          <w:r w:rsidRPr="0092456D">
            <w:rPr>
              <w:b w:val="0"/>
              <w:sz w:val="36"/>
              <w:szCs w:val="36"/>
            </w:rPr>
            <w:t xml:space="preserve">HEaLTHY </w:t>
          </w:r>
          <w:r w:rsidRPr="0092456D">
            <w:rPr>
              <w:b w:val="0"/>
              <w:sz w:val="36"/>
              <w:szCs w:val="36"/>
            </w:rPr>
            <w:t>EATING</w:t>
          </w:r>
          <w:bookmarkStart w:id="0" w:name="_GoBack"/>
          <w:bookmarkEnd w:id="0"/>
          <w:r w:rsidRPr="0092456D">
            <w:rPr>
              <w:b w:val="0"/>
              <w:sz w:val="36"/>
              <w:szCs w:val="36"/>
            </w:rPr>
            <w:t xml:space="preserve"> POLICY</w:t>
          </w:r>
        </w:p>
      </w:tc>
      <w:tc>
        <w:tcPr>
          <w:tcW w:w="2694" w:type="dxa"/>
        </w:tcPr>
        <w:p w:rsidR="0092456D" w:rsidRDefault="0092456D" w:rsidP="0092456D">
          <w:pPr>
            <w:pStyle w:val="Title"/>
            <w:jc w:val="right"/>
          </w:pPr>
          <w:r>
            <w:rPr>
              <w:noProof/>
            </w:rPr>
            <w:drawing>
              <wp:anchor distT="0" distB="0" distL="114300" distR="114300" simplePos="0" relativeHeight="251659264" behindDoc="0" locked="0" layoutInCell="1" allowOverlap="1" wp14:anchorId="5286BD4F" wp14:editId="16195A71">
                <wp:simplePos x="0" y="0"/>
                <wp:positionH relativeFrom="column">
                  <wp:posOffset>324485</wp:posOffset>
                </wp:positionH>
                <wp:positionV relativeFrom="paragraph">
                  <wp:posOffset>59055</wp:posOffset>
                </wp:positionV>
                <wp:extent cx="908322" cy="952500"/>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tbl>
  <w:p w:rsidR="0092456D" w:rsidRDefault="00924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46C" w:rsidRDefault="00B81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DDA"/>
    <w:multiLevelType w:val="hybridMultilevel"/>
    <w:tmpl w:val="4AB0C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821601"/>
    <w:multiLevelType w:val="hybridMultilevel"/>
    <w:tmpl w:val="902EB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7851A4"/>
    <w:multiLevelType w:val="hybridMultilevel"/>
    <w:tmpl w:val="AB66187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27FE67E9"/>
    <w:multiLevelType w:val="hybridMultilevel"/>
    <w:tmpl w:val="26829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5E709E"/>
    <w:multiLevelType w:val="hybridMultilevel"/>
    <w:tmpl w:val="431C0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F36D78"/>
    <w:multiLevelType w:val="hybridMultilevel"/>
    <w:tmpl w:val="B652D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F87F3A"/>
    <w:multiLevelType w:val="hybridMultilevel"/>
    <w:tmpl w:val="6BC288F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42032835"/>
    <w:multiLevelType w:val="hybridMultilevel"/>
    <w:tmpl w:val="58B2F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10298D"/>
    <w:multiLevelType w:val="hybridMultilevel"/>
    <w:tmpl w:val="602C0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5529A8"/>
    <w:multiLevelType w:val="hybridMultilevel"/>
    <w:tmpl w:val="BFAA867E"/>
    <w:lvl w:ilvl="0" w:tplc="AD7857F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CE3133"/>
    <w:multiLevelType w:val="hybridMultilevel"/>
    <w:tmpl w:val="468022A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57C27AA2"/>
    <w:multiLevelType w:val="hybridMultilevel"/>
    <w:tmpl w:val="DE46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6B3428"/>
    <w:multiLevelType w:val="hybridMultilevel"/>
    <w:tmpl w:val="40BCF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0B5253"/>
    <w:multiLevelType w:val="hybridMultilevel"/>
    <w:tmpl w:val="0842254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72AC6E26"/>
    <w:multiLevelType w:val="hybridMultilevel"/>
    <w:tmpl w:val="FD263AE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75E22A3B"/>
    <w:multiLevelType w:val="hybridMultilevel"/>
    <w:tmpl w:val="BF86F9C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7AE616F3"/>
    <w:multiLevelType w:val="hybridMultilevel"/>
    <w:tmpl w:val="1FAEA31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7D0F7E9E"/>
    <w:multiLevelType w:val="hybridMultilevel"/>
    <w:tmpl w:val="82C89768"/>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EA4F41"/>
    <w:multiLevelType w:val="hybridMultilevel"/>
    <w:tmpl w:val="759C6D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13"/>
  </w:num>
  <w:num w:numId="2">
    <w:abstractNumId w:val="16"/>
  </w:num>
  <w:num w:numId="3">
    <w:abstractNumId w:val="18"/>
  </w:num>
  <w:num w:numId="4">
    <w:abstractNumId w:val="2"/>
  </w:num>
  <w:num w:numId="5">
    <w:abstractNumId w:val="7"/>
  </w:num>
  <w:num w:numId="6">
    <w:abstractNumId w:val="8"/>
  </w:num>
  <w:num w:numId="7">
    <w:abstractNumId w:val="4"/>
  </w:num>
  <w:num w:numId="8">
    <w:abstractNumId w:val="17"/>
  </w:num>
  <w:num w:numId="9">
    <w:abstractNumId w:val="3"/>
  </w:num>
  <w:num w:numId="10">
    <w:abstractNumId w:val="12"/>
  </w:num>
  <w:num w:numId="11">
    <w:abstractNumId w:val="11"/>
  </w:num>
  <w:num w:numId="12">
    <w:abstractNumId w:val="5"/>
  </w:num>
  <w:num w:numId="13">
    <w:abstractNumId w:val="0"/>
  </w:num>
  <w:num w:numId="14">
    <w:abstractNumId w:val="1"/>
  </w:num>
  <w:num w:numId="15">
    <w:abstractNumId w:val="15"/>
  </w:num>
  <w:num w:numId="16">
    <w:abstractNumId w:val="14"/>
  </w:num>
  <w:num w:numId="17">
    <w:abstractNumId w:val="10"/>
  </w:num>
  <w:num w:numId="18">
    <w:abstractNumId w:val="6"/>
  </w:num>
  <w:num w:numId="1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03984"/>
    <w:rsid w:val="00023A72"/>
    <w:rsid w:val="00025B96"/>
    <w:rsid w:val="000276EB"/>
    <w:rsid w:val="00032092"/>
    <w:rsid w:val="0004118F"/>
    <w:rsid w:val="00082B06"/>
    <w:rsid w:val="00091DD9"/>
    <w:rsid w:val="000C42FF"/>
    <w:rsid w:val="00135515"/>
    <w:rsid w:val="001D6C99"/>
    <w:rsid w:val="002B28B3"/>
    <w:rsid w:val="002C7F9C"/>
    <w:rsid w:val="002E46DB"/>
    <w:rsid w:val="00365E49"/>
    <w:rsid w:val="003776E2"/>
    <w:rsid w:val="003804BF"/>
    <w:rsid w:val="003A073E"/>
    <w:rsid w:val="003C0605"/>
    <w:rsid w:val="003D6325"/>
    <w:rsid w:val="003E6CEA"/>
    <w:rsid w:val="00432590"/>
    <w:rsid w:val="004936BB"/>
    <w:rsid w:val="005031EC"/>
    <w:rsid w:val="00515F47"/>
    <w:rsid w:val="0057101F"/>
    <w:rsid w:val="005E3B6A"/>
    <w:rsid w:val="006342C1"/>
    <w:rsid w:val="006F70AC"/>
    <w:rsid w:val="00701CB8"/>
    <w:rsid w:val="00703AA0"/>
    <w:rsid w:val="00722273"/>
    <w:rsid w:val="00745122"/>
    <w:rsid w:val="007A3168"/>
    <w:rsid w:val="007C35C5"/>
    <w:rsid w:val="008001EE"/>
    <w:rsid w:val="00823C27"/>
    <w:rsid w:val="00876B08"/>
    <w:rsid w:val="008C65E2"/>
    <w:rsid w:val="008D0106"/>
    <w:rsid w:val="008F621D"/>
    <w:rsid w:val="008F6296"/>
    <w:rsid w:val="00912DA4"/>
    <w:rsid w:val="0092456D"/>
    <w:rsid w:val="00925F66"/>
    <w:rsid w:val="0097763D"/>
    <w:rsid w:val="0099242A"/>
    <w:rsid w:val="00992440"/>
    <w:rsid w:val="009F48A5"/>
    <w:rsid w:val="00A26259"/>
    <w:rsid w:val="00A36FE7"/>
    <w:rsid w:val="00A97010"/>
    <w:rsid w:val="00AA29D3"/>
    <w:rsid w:val="00AD1403"/>
    <w:rsid w:val="00B32355"/>
    <w:rsid w:val="00B65D9F"/>
    <w:rsid w:val="00B8146C"/>
    <w:rsid w:val="00B85E6B"/>
    <w:rsid w:val="00BE2EA6"/>
    <w:rsid w:val="00C04F31"/>
    <w:rsid w:val="00C66479"/>
    <w:rsid w:val="00D02305"/>
    <w:rsid w:val="00D032BE"/>
    <w:rsid w:val="00D173DD"/>
    <w:rsid w:val="00D42A2E"/>
    <w:rsid w:val="00DB36B6"/>
    <w:rsid w:val="00DC79AA"/>
    <w:rsid w:val="00DD0BCB"/>
    <w:rsid w:val="00E92890"/>
    <w:rsid w:val="00F04A11"/>
    <w:rsid w:val="00F405D3"/>
    <w:rsid w:val="00F56A8E"/>
    <w:rsid w:val="00FD3FFA"/>
    <w:rsid w:val="00FE7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A5922"/>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paragraph" w:styleId="Footer">
    <w:name w:val="footer"/>
    <w:basedOn w:val="Normal"/>
    <w:link w:val="FooterChar"/>
    <w:uiPriority w:val="99"/>
    <w:unhideWhenUsed/>
    <w:rsid w:val="00924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56D"/>
  </w:style>
  <w:style w:type="paragraph" w:styleId="Title">
    <w:name w:val="Title"/>
    <w:basedOn w:val="Normal"/>
    <w:link w:val="TitleChar"/>
    <w:qFormat/>
    <w:rsid w:val="0092456D"/>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92456D"/>
    <w:rPr>
      <w:rFonts w:asciiTheme="majorHAnsi" w:eastAsia="Times New Roman" w:hAnsiTheme="majorHAnsi" w:cs="Times New Roman"/>
      <w:b/>
      <w:caps/>
      <w:sz w:val="28"/>
      <w:szCs w:val="24"/>
    </w:rPr>
  </w:style>
  <w:style w:type="table" w:styleId="TableGrid">
    <w:name w:val="Table Grid"/>
    <w:basedOn w:val="TableNormal"/>
    <w:rsid w:val="0092456D"/>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92456D"/>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finance/pages/canteen.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ducation.vic/gov.au/school/principals/spag/curriculum/Pages/health.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67A05-10F4-44A6-B387-C5E8D1ACE1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87E844-6527-4145-B0EB-1E0358FA3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6527F-BDCF-4AF4-8CF1-6F1B96431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8</cp:revision>
  <dcterms:created xsi:type="dcterms:W3CDTF">2017-02-16T03:59:00Z</dcterms:created>
  <dcterms:modified xsi:type="dcterms:W3CDTF">2018-01-01T05:13:00Z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