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7E7" w:rsidRPr="00E35D65" w:rsidRDefault="00F717E7" w:rsidP="00F55975">
      <w:pPr>
        <w:pStyle w:val="NoSpacing"/>
        <w:ind w:right="-46"/>
        <w:jc w:val="both"/>
        <w:rPr>
          <w:rStyle w:val="SubtleReference"/>
        </w:rPr>
      </w:pPr>
      <w:r w:rsidRPr="00E35D65">
        <w:rPr>
          <w:rStyle w:val="SubtleReference"/>
        </w:rPr>
        <w:t>Rationale</w:t>
      </w:r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Minor capital works are projects costing less than $100,000 and include works such as:</w:t>
      </w:r>
    </w:p>
    <w:p w:rsidR="00F717E7" w:rsidRPr="00E35D65" w:rsidRDefault="00F717E7" w:rsidP="00F55975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school building modifications</w:t>
      </w:r>
      <w:r w:rsidR="00E465A9" w:rsidRPr="00E465A9">
        <w:rPr>
          <w:rFonts w:asciiTheme="majorHAnsi" w:hAnsiTheme="majorHAnsi"/>
          <w:sz w:val="24"/>
          <w:szCs w:val="24"/>
        </w:rPr>
        <w:t xml:space="preserve"> </w:t>
      </w:r>
      <w:r w:rsidR="00E465A9">
        <w:rPr>
          <w:rFonts w:asciiTheme="majorHAnsi" w:hAnsiTheme="majorHAnsi"/>
          <w:sz w:val="24"/>
          <w:szCs w:val="24"/>
        </w:rPr>
        <w:t xml:space="preserve">and/or </w:t>
      </w:r>
      <w:r w:rsidR="00E465A9" w:rsidRPr="00E35D65">
        <w:rPr>
          <w:rFonts w:asciiTheme="majorHAnsi" w:hAnsiTheme="majorHAnsi"/>
          <w:sz w:val="24"/>
          <w:szCs w:val="24"/>
        </w:rPr>
        <w:t>smaller new construction projects</w:t>
      </w:r>
    </w:p>
    <w:p w:rsidR="00F717E7" w:rsidRPr="00E35D65" w:rsidRDefault="00F717E7" w:rsidP="00F55975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toilet replacement</w:t>
      </w:r>
    </w:p>
    <w:p w:rsidR="00F717E7" w:rsidRPr="00E35D65" w:rsidRDefault="00F717E7" w:rsidP="00F55975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service upgrades</w:t>
      </w:r>
    </w:p>
    <w:p w:rsidR="00F717E7" w:rsidRPr="00E465A9" w:rsidRDefault="00F717E7" w:rsidP="00E465A9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car parking</w:t>
      </w:r>
      <w:bookmarkStart w:id="0" w:name="_GoBack"/>
      <w:bookmarkEnd w:id="0"/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Project value is calculated on the estimated total project cost (including GST).</w:t>
      </w:r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School Councils have delegated authority to enter into contracts and carry out building works or improvements for projects less than $50,000 (subject to the availability of funds and compliance with DET policies and legislative requirements).</w:t>
      </w:r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School Councils must seek approval for projects over $50,000 from the ministerially delegated officer within the Infrastructure Division and must not carry out any work until this approval is received.</w:t>
      </w:r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School Councils must comply with government requirements for probity in tendering and contracting.</w:t>
      </w:r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Procedures for managing work over $50,000 will be provided when approval is granted.</w:t>
      </w:r>
    </w:p>
    <w:p w:rsidR="00E35D65" w:rsidRPr="00E35D65" w:rsidRDefault="00E35D65" w:rsidP="00F55975">
      <w:pPr>
        <w:pStyle w:val="NoSpacing"/>
        <w:ind w:right="-46"/>
        <w:jc w:val="both"/>
        <w:rPr>
          <w:rFonts w:asciiTheme="majorHAnsi" w:hAnsiTheme="majorHAnsi"/>
          <w:sz w:val="24"/>
          <w:szCs w:val="24"/>
        </w:rPr>
      </w:pPr>
    </w:p>
    <w:p w:rsidR="00F717E7" w:rsidRPr="00E35D65" w:rsidRDefault="00F717E7" w:rsidP="00F55975">
      <w:pPr>
        <w:pStyle w:val="NoSpacing"/>
        <w:ind w:right="-46"/>
        <w:jc w:val="both"/>
        <w:rPr>
          <w:rStyle w:val="SubtleReference"/>
        </w:rPr>
      </w:pPr>
      <w:r w:rsidRPr="00E35D65">
        <w:rPr>
          <w:rStyle w:val="SubtleReference"/>
        </w:rPr>
        <w:t>Purpose</w:t>
      </w:r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 w:cs="Arial"/>
          <w:sz w:val="24"/>
          <w:szCs w:val="24"/>
        </w:rPr>
        <w:t>To outline the DET’s business rules and processes for minor capital works.</w:t>
      </w:r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 w:cs="Arial"/>
          <w:sz w:val="24"/>
          <w:szCs w:val="24"/>
        </w:rPr>
        <w:t xml:space="preserve">To ensure </w:t>
      </w:r>
      <w:r w:rsidR="007961DB" w:rsidRPr="00E35D65">
        <w:rPr>
          <w:rFonts w:asciiTheme="majorHAnsi" w:hAnsiTheme="majorHAnsi" w:cs="Arial"/>
          <w:sz w:val="24"/>
          <w:szCs w:val="24"/>
        </w:rPr>
        <w:t>Charles La Trobe College</w:t>
      </w:r>
      <w:r w:rsidRPr="00E35D65">
        <w:rPr>
          <w:rFonts w:asciiTheme="majorHAnsi" w:hAnsiTheme="majorHAnsi" w:cs="Arial"/>
          <w:sz w:val="24"/>
          <w:szCs w:val="24"/>
        </w:rPr>
        <w:t xml:space="preserve"> complies with DET policy and guidelines, Ministerial Direction No 1 if applicable and legislative requirements.</w:t>
      </w:r>
    </w:p>
    <w:p w:rsidR="00E35D65" w:rsidRPr="00E35D65" w:rsidRDefault="00E35D65" w:rsidP="00F55975">
      <w:pPr>
        <w:pStyle w:val="NoSpacing"/>
        <w:ind w:right="-46"/>
        <w:jc w:val="both"/>
        <w:rPr>
          <w:rFonts w:asciiTheme="majorHAnsi" w:hAnsiTheme="majorHAnsi"/>
          <w:sz w:val="24"/>
          <w:szCs w:val="24"/>
        </w:rPr>
      </w:pPr>
    </w:p>
    <w:p w:rsidR="00F717E7" w:rsidRPr="00E35D65" w:rsidRDefault="00F717E7" w:rsidP="00F55975">
      <w:pPr>
        <w:pStyle w:val="NoSpacing"/>
        <w:ind w:right="-46"/>
        <w:jc w:val="both"/>
        <w:rPr>
          <w:rStyle w:val="SubtleReference"/>
        </w:rPr>
      </w:pPr>
      <w:r w:rsidRPr="00E35D65">
        <w:rPr>
          <w:rStyle w:val="SubtleReference"/>
        </w:rPr>
        <w:t>Implementation</w:t>
      </w:r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The College will call for tenders in accordance with the following table:</w:t>
      </w:r>
    </w:p>
    <w:p w:rsidR="00F717E7" w:rsidRPr="00E35D65" w:rsidRDefault="00F717E7" w:rsidP="00F55975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 xml:space="preserve">building and construction projects </w:t>
      </w:r>
    </w:p>
    <w:p w:rsidR="00F717E7" w:rsidRPr="00E35D65" w:rsidRDefault="00F717E7" w:rsidP="00F55975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$25,000 or less – at least one written tender</w:t>
      </w:r>
    </w:p>
    <w:p w:rsidR="00F717E7" w:rsidRPr="00E35D65" w:rsidRDefault="00F717E7" w:rsidP="00F55975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between $25,000 and $200,000 – at least three written tenders</w:t>
      </w:r>
    </w:p>
    <w:p w:rsidR="00F717E7" w:rsidRPr="00E35D65" w:rsidRDefault="00F717E7" w:rsidP="00F55975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consultancy services</w:t>
      </w:r>
    </w:p>
    <w:p w:rsidR="00F717E7" w:rsidRPr="00E35D65" w:rsidRDefault="00F717E7" w:rsidP="00F55975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$25,000 or less – at least one written tender</w:t>
      </w:r>
    </w:p>
    <w:p w:rsidR="00F717E7" w:rsidRPr="00E35D65" w:rsidRDefault="00F717E7" w:rsidP="00F55975">
      <w:pPr>
        <w:pStyle w:val="NoSpacing"/>
        <w:numPr>
          <w:ilvl w:val="0"/>
          <w:numId w:val="37"/>
        </w:numPr>
        <w:ind w:left="1134" w:right="-46" w:hanging="425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>between $25,000 and $150,000 – at least three written tenders</w:t>
      </w:r>
    </w:p>
    <w:p w:rsidR="00F717E7" w:rsidRPr="00E35D65" w:rsidRDefault="00F717E7" w:rsidP="00F55975">
      <w:pPr>
        <w:pStyle w:val="NoSpacing"/>
        <w:numPr>
          <w:ilvl w:val="0"/>
          <w:numId w:val="45"/>
        </w:numPr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 w:cs="Arial"/>
          <w:sz w:val="24"/>
          <w:szCs w:val="24"/>
          <w:lang w:val="en-US"/>
        </w:rPr>
        <w:t xml:space="preserve">The College will refer to </w:t>
      </w:r>
      <w:r w:rsidRPr="00E35D65">
        <w:rPr>
          <w:rStyle w:val="Emphasis"/>
          <w:rFonts w:asciiTheme="majorHAnsi" w:hAnsiTheme="majorHAnsi" w:cs="Arial"/>
          <w:sz w:val="24"/>
          <w:szCs w:val="24"/>
          <w:lang w:val="en-US"/>
        </w:rPr>
        <w:t>Ministerial Direction No.1</w:t>
      </w:r>
      <w:r w:rsidRPr="00E35D65">
        <w:rPr>
          <w:rFonts w:asciiTheme="majorHAnsi" w:hAnsiTheme="majorHAnsi" w:cs="Arial"/>
          <w:sz w:val="24"/>
          <w:szCs w:val="24"/>
          <w:lang w:val="en-US"/>
        </w:rPr>
        <w:t xml:space="preserve"> for procedures to be applied for building and construction works or consultancy services or for projects in excess of the above amounts.</w:t>
      </w:r>
    </w:p>
    <w:p w:rsidR="00E35D65" w:rsidRPr="00E35D65" w:rsidRDefault="00E35D65" w:rsidP="00F55975">
      <w:pPr>
        <w:pStyle w:val="NoSpacing"/>
        <w:ind w:right="-46"/>
        <w:jc w:val="both"/>
        <w:rPr>
          <w:rFonts w:asciiTheme="majorHAnsi" w:hAnsiTheme="majorHAnsi"/>
          <w:sz w:val="24"/>
          <w:szCs w:val="24"/>
        </w:rPr>
      </w:pPr>
    </w:p>
    <w:p w:rsidR="00F717E7" w:rsidRPr="00E35D65" w:rsidRDefault="00F717E7" w:rsidP="00F55975">
      <w:pPr>
        <w:pStyle w:val="NoSpacing"/>
        <w:ind w:right="-46"/>
        <w:jc w:val="both"/>
        <w:rPr>
          <w:rStyle w:val="SubtleReference"/>
        </w:rPr>
      </w:pPr>
      <w:r w:rsidRPr="00E35D65">
        <w:rPr>
          <w:rStyle w:val="SubtleReference"/>
        </w:rPr>
        <w:t>Evaluation</w:t>
      </w:r>
    </w:p>
    <w:p w:rsidR="00F717E7" w:rsidRPr="00E35D65" w:rsidRDefault="00F717E7" w:rsidP="00F55975">
      <w:pPr>
        <w:pStyle w:val="NoSpacing"/>
        <w:ind w:right="-46"/>
        <w:jc w:val="both"/>
        <w:rPr>
          <w:rFonts w:asciiTheme="majorHAnsi" w:hAnsiTheme="majorHAnsi" w:cs="Tahoma"/>
          <w:bCs/>
          <w:sz w:val="24"/>
          <w:szCs w:val="24"/>
          <w:lang w:val="en-US"/>
        </w:rPr>
      </w:pPr>
      <w:r w:rsidRPr="00E35D65">
        <w:rPr>
          <w:rFonts w:asciiTheme="majorHAnsi" w:hAnsiTheme="majorHAnsi"/>
          <w:sz w:val="24"/>
          <w:szCs w:val="24"/>
        </w:rPr>
        <w:t xml:space="preserve">This policy will be reviewed as part of the school’s review three-year cycle or if guidelines change (latest </w:t>
      </w:r>
      <w:r w:rsidR="007961DB" w:rsidRPr="00E35D65">
        <w:rPr>
          <w:rFonts w:asciiTheme="majorHAnsi" w:hAnsiTheme="majorHAnsi"/>
          <w:sz w:val="24"/>
          <w:szCs w:val="24"/>
        </w:rPr>
        <w:t xml:space="preserve">DET </w:t>
      </w:r>
      <w:r w:rsidRPr="00E35D65">
        <w:rPr>
          <w:rFonts w:asciiTheme="majorHAnsi" w:hAnsiTheme="majorHAnsi"/>
          <w:sz w:val="24"/>
          <w:szCs w:val="24"/>
        </w:rPr>
        <w:t>update early September 2014).</w:t>
      </w:r>
    </w:p>
    <w:p w:rsidR="00E35D65" w:rsidRDefault="00E35D65" w:rsidP="00F55975">
      <w:pPr>
        <w:pStyle w:val="NoSpacing"/>
        <w:ind w:right="-46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F55975" w:rsidRDefault="00AB0462" w:rsidP="00F55975">
      <w:pPr>
        <w:pStyle w:val="NoSpacing"/>
        <w:ind w:right="-46"/>
        <w:jc w:val="both"/>
        <w:rPr>
          <w:rStyle w:val="SubtleReference"/>
        </w:rPr>
      </w:pPr>
      <w:r w:rsidRPr="00E35D65">
        <w:rPr>
          <w:rStyle w:val="SubtleReference"/>
        </w:rPr>
        <w:t>Ratification</w:t>
      </w:r>
    </w:p>
    <w:p w:rsidR="00AB0462" w:rsidRDefault="00AB0462" w:rsidP="00F55975">
      <w:pPr>
        <w:pStyle w:val="NoSpacing"/>
        <w:ind w:right="-46"/>
        <w:jc w:val="both"/>
        <w:rPr>
          <w:rFonts w:asciiTheme="majorHAnsi" w:hAnsiTheme="majorHAnsi"/>
          <w:sz w:val="24"/>
          <w:szCs w:val="24"/>
        </w:rPr>
      </w:pPr>
      <w:r w:rsidRPr="00E35D65">
        <w:rPr>
          <w:rFonts w:asciiTheme="majorHAnsi" w:hAnsiTheme="majorHAnsi"/>
          <w:sz w:val="24"/>
          <w:szCs w:val="24"/>
        </w:rPr>
        <w:t xml:space="preserve">This update was ratified by College Council </w:t>
      </w:r>
      <w:r w:rsidR="00F55975">
        <w:rPr>
          <w:rFonts w:asciiTheme="majorHAnsi" w:hAnsiTheme="majorHAnsi"/>
          <w:sz w:val="24"/>
          <w:szCs w:val="24"/>
        </w:rPr>
        <w:t>on 15</w:t>
      </w:r>
      <w:r w:rsidR="00F55975" w:rsidRPr="00F55975">
        <w:rPr>
          <w:rFonts w:asciiTheme="majorHAnsi" w:hAnsiTheme="majorHAnsi"/>
          <w:sz w:val="24"/>
          <w:szCs w:val="24"/>
          <w:vertAlign w:val="superscript"/>
        </w:rPr>
        <w:t>th</w:t>
      </w:r>
      <w:r w:rsidR="00F5597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F55975">
        <w:rPr>
          <w:rFonts w:asciiTheme="majorHAnsi" w:hAnsiTheme="majorHAnsi"/>
          <w:sz w:val="24"/>
          <w:szCs w:val="24"/>
        </w:rPr>
        <w:t>February,</w:t>
      </w:r>
      <w:proofErr w:type="gramEnd"/>
      <w:r w:rsidR="00F55975">
        <w:rPr>
          <w:rFonts w:asciiTheme="majorHAnsi" w:hAnsiTheme="majorHAnsi"/>
          <w:sz w:val="24"/>
          <w:szCs w:val="24"/>
        </w:rPr>
        <w:t xml:space="preserve"> 2018.</w:t>
      </w:r>
    </w:p>
    <w:p w:rsidR="00F55975" w:rsidRPr="00F55975" w:rsidRDefault="00F55975" w:rsidP="00F55975">
      <w:pPr>
        <w:pStyle w:val="NoSpacing"/>
        <w:ind w:right="-46"/>
        <w:jc w:val="both"/>
        <w:rPr>
          <w:rFonts w:asciiTheme="majorHAnsi" w:hAnsiTheme="majorHAnsi"/>
          <w:smallCaps/>
          <w:sz w:val="24"/>
          <w:u w:val="single"/>
        </w:rPr>
      </w:pPr>
    </w:p>
    <w:p w:rsidR="00F717E7" w:rsidRPr="00F55975" w:rsidRDefault="00F717E7" w:rsidP="00F55975">
      <w:pPr>
        <w:pStyle w:val="NoSpacing"/>
        <w:ind w:right="-46"/>
        <w:jc w:val="both"/>
        <w:rPr>
          <w:rStyle w:val="SubtleReference"/>
        </w:rPr>
      </w:pPr>
      <w:r w:rsidRPr="00F55975">
        <w:rPr>
          <w:rStyle w:val="SubtleReference"/>
        </w:rPr>
        <w:t>Reference</w:t>
      </w:r>
    </w:p>
    <w:p w:rsidR="00363708" w:rsidRPr="00F55975" w:rsidRDefault="00D374C9" w:rsidP="00F55975">
      <w:pPr>
        <w:pStyle w:val="NoSpacing"/>
        <w:ind w:right="-46"/>
        <w:jc w:val="both"/>
        <w:rPr>
          <w:rFonts w:asciiTheme="majorHAnsi" w:hAnsiTheme="majorHAnsi"/>
          <w:sz w:val="24"/>
          <w:szCs w:val="24"/>
        </w:rPr>
      </w:pPr>
      <w:hyperlink r:id="rId10" w:history="1">
        <w:r w:rsidR="00F717E7" w:rsidRPr="00F55975">
          <w:rPr>
            <w:rFonts w:asciiTheme="majorHAnsi" w:hAnsiTheme="majorHAnsi"/>
            <w:sz w:val="24"/>
            <w:szCs w:val="24"/>
          </w:rPr>
          <w:t>www.education.vic.gov.au/school/principals/spag/infrastructure/pages/miorwrks.aspx</w:t>
        </w:r>
      </w:hyperlink>
      <w:r w:rsidR="00F717E7" w:rsidRPr="00F55975">
        <w:rPr>
          <w:rFonts w:asciiTheme="majorHAnsi" w:hAnsiTheme="majorHAnsi"/>
          <w:sz w:val="24"/>
          <w:szCs w:val="24"/>
        </w:rPr>
        <w:t xml:space="preserve">   </w:t>
      </w:r>
    </w:p>
    <w:sectPr w:rsidR="00363708" w:rsidRPr="00F55975" w:rsidSect="00E465A9">
      <w:headerReference w:type="default" r:id="rId11"/>
      <w:footerReference w:type="default" r:id="rId12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4C9" w:rsidRDefault="00D374C9" w:rsidP="00E35D65">
      <w:pPr>
        <w:spacing w:after="0" w:line="240" w:lineRule="auto"/>
      </w:pPr>
      <w:r>
        <w:separator/>
      </w:r>
    </w:p>
  </w:endnote>
  <w:endnote w:type="continuationSeparator" w:id="0">
    <w:p w:rsidR="00D374C9" w:rsidRDefault="00D374C9" w:rsidP="00E3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266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5D65" w:rsidRDefault="00E35D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5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5D65" w:rsidRDefault="00E35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4C9" w:rsidRDefault="00D374C9" w:rsidP="00E35D65">
      <w:pPr>
        <w:spacing w:after="0" w:line="240" w:lineRule="auto"/>
      </w:pPr>
      <w:r>
        <w:separator/>
      </w:r>
    </w:p>
  </w:footnote>
  <w:footnote w:type="continuationSeparator" w:id="0">
    <w:p w:rsidR="00D374C9" w:rsidRDefault="00D374C9" w:rsidP="00E3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05"/>
      <w:gridCol w:w="2511"/>
    </w:tblGrid>
    <w:tr w:rsidR="00E35D65" w:rsidTr="00817356">
      <w:trPr>
        <w:trHeight w:val="1691"/>
      </w:trPr>
      <w:tc>
        <w:tcPr>
          <w:tcW w:w="6912" w:type="dxa"/>
        </w:tcPr>
        <w:p w:rsidR="00E35D65" w:rsidRPr="00E35D65" w:rsidRDefault="00E35D65" w:rsidP="00E35D65">
          <w:pPr>
            <w:pStyle w:val="Title"/>
            <w:rPr>
              <w:b w:val="0"/>
              <w:sz w:val="32"/>
              <w:szCs w:val="36"/>
            </w:rPr>
          </w:pPr>
        </w:p>
        <w:p w:rsidR="00E35D65" w:rsidRPr="00E35D65" w:rsidRDefault="00E35D65" w:rsidP="00E35D65">
          <w:pPr>
            <w:pStyle w:val="Title"/>
            <w:rPr>
              <w:b w:val="0"/>
              <w:sz w:val="24"/>
            </w:rPr>
          </w:pPr>
        </w:p>
        <w:p w:rsidR="00E35D65" w:rsidRPr="00314CD7" w:rsidRDefault="00E35D65" w:rsidP="00E35D65">
          <w:pPr>
            <w:pStyle w:val="Title"/>
          </w:pPr>
          <w:r w:rsidRPr="001A0788">
            <w:rPr>
              <w:b w:val="0"/>
              <w:sz w:val="36"/>
            </w:rPr>
            <w:t>minor capital works policy</w:t>
          </w:r>
        </w:p>
      </w:tc>
      <w:tc>
        <w:tcPr>
          <w:tcW w:w="2694" w:type="dxa"/>
        </w:tcPr>
        <w:p w:rsidR="00E35D65" w:rsidRDefault="00E35D65" w:rsidP="00E35D65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A7E2E9" wp14:editId="01B8F471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35D65" w:rsidRDefault="00E35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384"/>
    <w:multiLevelType w:val="hybridMultilevel"/>
    <w:tmpl w:val="4EA20B9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1D03AFE"/>
    <w:multiLevelType w:val="hybridMultilevel"/>
    <w:tmpl w:val="8A4E6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6EA"/>
    <w:multiLevelType w:val="hybridMultilevel"/>
    <w:tmpl w:val="7C9CD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182F"/>
    <w:multiLevelType w:val="hybridMultilevel"/>
    <w:tmpl w:val="DFC8A39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FA72A9"/>
    <w:multiLevelType w:val="hybridMultilevel"/>
    <w:tmpl w:val="2D3E1C62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DB33D1E"/>
    <w:multiLevelType w:val="hybridMultilevel"/>
    <w:tmpl w:val="C2164E0C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D086B"/>
    <w:multiLevelType w:val="hybridMultilevel"/>
    <w:tmpl w:val="5A086C2C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485EC6"/>
    <w:multiLevelType w:val="hybridMultilevel"/>
    <w:tmpl w:val="525AD9E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CF2F53"/>
    <w:multiLevelType w:val="hybridMultilevel"/>
    <w:tmpl w:val="67A0C3D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DE6FF6"/>
    <w:multiLevelType w:val="hybridMultilevel"/>
    <w:tmpl w:val="00786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689A"/>
    <w:multiLevelType w:val="hybridMultilevel"/>
    <w:tmpl w:val="62EED1B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AB43A9"/>
    <w:multiLevelType w:val="hybridMultilevel"/>
    <w:tmpl w:val="E33AE940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08251FB"/>
    <w:multiLevelType w:val="hybridMultilevel"/>
    <w:tmpl w:val="B630CCF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09426E"/>
    <w:multiLevelType w:val="hybridMultilevel"/>
    <w:tmpl w:val="669A8E44"/>
    <w:lvl w:ilvl="0" w:tplc="479812EC">
      <w:start w:val="1"/>
      <w:numFmt w:val="bullet"/>
      <w:lvlText w:val="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85C192A"/>
    <w:multiLevelType w:val="hybridMultilevel"/>
    <w:tmpl w:val="3CE209F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61212C"/>
    <w:multiLevelType w:val="hybridMultilevel"/>
    <w:tmpl w:val="88824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2699B"/>
    <w:multiLevelType w:val="hybridMultilevel"/>
    <w:tmpl w:val="6E9CBB3A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2465DD4"/>
    <w:multiLevelType w:val="hybridMultilevel"/>
    <w:tmpl w:val="C87CDD2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F0567A"/>
    <w:multiLevelType w:val="hybridMultilevel"/>
    <w:tmpl w:val="BE3A493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32E22E6"/>
    <w:multiLevelType w:val="hybridMultilevel"/>
    <w:tmpl w:val="FF82CC6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69829E1"/>
    <w:multiLevelType w:val="hybridMultilevel"/>
    <w:tmpl w:val="B3D0A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46475"/>
    <w:multiLevelType w:val="hybridMultilevel"/>
    <w:tmpl w:val="57DC0BB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B6024A0"/>
    <w:multiLevelType w:val="hybridMultilevel"/>
    <w:tmpl w:val="B0EAA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16368"/>
    <w:multiLevelType w:val="hybridMultilevel"/>
    <w:tmpl w:val="6E3ED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902C0"/>
    <w:multiLevelType w:val="hybridMultilevel"/>
    <w:tmpl w:val="70E2ED5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EF1214"/>
    <w:multiLevelType w:val="hybridMultilevel"/>
    <w:tmpl w:val="30D85EB8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81A79"/>
    <w:multiLevelType w:val="hybridMultilevel"/>
    <w:tmpl w:val="7C9AC180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EF35892"/>
    <w:multiLevelType w:val="hybridMultilevel"/>
    <w:tmpl w:val="4808BF5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3F2126A"/>
    <w:multiLevelType w:val="hybridMultilevel"/>
    <w:tmpl w:val="395035B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5D73CEB"/>
    <w:multiLevelType w:val="hybridMultilevel"/>
    <w:tmpl w:val="95A2DB8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9037712"/>
    <w:multiLevelType w:val="hybridMultilevel"/>
    <w:tmpl w:val="83EC58B8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A8405C3"/>
    <w:multiLevelType w:val="hybridMultilevel"/>
    <w:tmpl w:val="7A769C4E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BAA258F"/>
    <w:multiLevelType w:val="hybridMultilevel"/>
    <w:tmpl w:val="3E06FC26"/>
    <w:lvl w:ilvl="0" w:tplc="479812EC">
      <w:start w:val="1"/>
      <w:numFmt w:val="bullet"/>
      <w:lvlText w:val="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DDA1910"/>
    <w:multiLevelType w:val="hybridMultilevel"/>
    <w:tmpl w:val="72BAC750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E225B88"/>
    <w:multiLevelType w:val="hybridMultilevel"/>
    <w:tmpl w:val="61CAF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51137"/>
    <w:multiLevelType w:val="hybridMultilevel"/>
    <w:tmpl w:val="5E765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649E6"/>
    <w:multiLevelType w:val="hybridMultilevel"/>
    <w:tmpl w:val="80FA908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D7795F"/>
    <w:multiLevelType w:val="hybridMultilevel"/>
    <w:tmpl w:val="E312DAE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2FD2C98"/>
    <w:multiLevelType w:val="hybridMultilevel"/>
    <w:tmpl w:val="F9EA10C6"/>
    <w:lvl w:ilvl="0" w:tplc="479812E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BF183F"/>
    <w:multiLevelType w:val="hybridMultilevel"/>
    <w:tmpl w:val="62B4EDE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1E0C052">
      <w:start w:val="5"/>
      <w:numFmt w:val="bullet"/>
      <w:lvlText w:val="•"/>
      <w:lvlJc w:val="left"/>
      <w:pPr>
        <w:ind w:left="2149" w:hanging="360"/>
      </w:pPr>
      <w:rPr>
        <w:rFonts w:ascii="Calibri" w:eastAsiaTheme="minorHAnsi" w:hAnsi="Calibri" w:cs="Arial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B91C2B"/>
    <w:multiLevelType w:val="hybridMultilevel"/>
    <w:tmpl w:val="A72E01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A02D6D"/>
    <w:multiLevelType w:val="hybridMultilevel"/>
    <w:tmpl w:val="C5BC3B3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72D3CC6"/>
    <w:multiLevelType w:val="hybridMultilevel"/>
    <w:tmpl w:val="87B82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B154D"/>
    <w:multiLevelType w:val="hybridMultilevel"/>
    <w:tmpl w:val="D6BA21C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F04010A"/>
    <w:multiLevelType w:val="hybridMultilevel"/>
    <w:tmpl w:val="1466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6"/>
  </w:num>
  <w:num w:numId="5">
    <w:abstractNumId w:val="14"/>
  </w:num>
  <w:num w:numId="6">
    <w:abstractNumId w:val="43"/>
  </w:num>
  <w:num w:numId="7">
    <w:abstractNumId w:val="19"/>
  </w:num>
  <w:num w:numId="8">
    <w:abstractNumId w:val="26"/>
  </w:num>
  <w:num w:numId="9">
    <w:abstractNumId w:val="41"/>
  </w:num>
  <w:num w:numId="10">
    <w:abstractNumId w:val="35"/>
  </w:num>
  <w:num w:numId="11">
    <w:abstractNumId w:val="42"/>
  </w:num>
  <w:num w:numId="12">
    <w:abstractNumId w:val="28"/>
  </w:num>
  <w:num w:numId="13">
    <w:abstractNumId w:val="3"/>
  </w:num>
  <w:num w:numId="14">
    <w:abstractNumId w:val="10"/>
  </w:num>
  <w:num w:numId="15">
    <w:abstractNumId w:val="7"/>
  </w:num>
  <w:num w:numId="16">
    <w:abstractNumId w:val="24"/>
  </w:num>
  <w:num w:numId="17">
    <w:abstractNumId w:val="18"/>
  </w:num>
  <w:num w:numId="18">
    <w:abstractNumId w:val="23"/>
  </w:num>
  <w:num w:numId="19">
    <w:abstractNumId w:val="30"/>
  </w:num>
  <w:num w:numId="20">
    <w:abstractNumId w:val="40"/>
  </w:num>
  <w:num w:numId="21">
    <w:abstractNumId w:val="36"/>
  </w:num>
  <w:num w:numId="22">
    <w:abstractNumId w:val="17"/>
  </w:num>
  <w:num w:numId="23">
    <w:abstractNumId w:val="39"/>
  </w:num>
  <w:num w:numId="24">
    <w:abstractNumId w:val="12"/>
  </w:num>
  <w:num w:numId="25">
    <w:abstractNumId w:val="38"/>
  </w:num>
  <w:num w:numId="26">
    <w:abstractNumId w:val="8"/>
  </w:num>
  <w:num w:numId="27">
    <w:abstractNumId w:val="1"/>
  </w:num>
  <w:num w:numId="28">
    <w:abstractNumId w:val="44"/>
  </w:num>
  <w:num w:numId="29">
    <w:abstractNumId w:val="9"/>
  </w:num>
  <w:num w:numId="30">
    <w:abstractNumId w:val="20"/>
  </w:num>
  <w:num w:numId="31">
    <w:abstractNumId w:val="34"/>
  </w:num>
  <w:num w:numId="32">
    <w:abstractNumId w:val="5"/>
  </w:num>
  <w:num w:numId="33">
    <w:abstractNumId w:val="2"/>
  </w:num>
  <w:num w:numId="34">
    <w:abstractNumId w:val="22"/>
  </w:num>
  <w:num w:numId="35">
    <w:abstractNumId w:val="15"/>
  </w:num>
  <w:num w:numId="36">
    <w:abstractNumId w:val="16"/>
  </w:num>
  <w:num w:numId="37">
    <w:abstractNumId w:val="13"/>
  </w:num>
  <w:num w:numId="38">
    <w:abstractNumId w:val="33"/>
  </w:num>
  <w:num w:numId="39">
    <w:abstractNumId w:val="4"/>
  </w:num>
  <w:num w:numId="40">
    <w:abstractNumId w:val="0"/>
  </w:num>
  <w:num w:numId="41">
    <w:abstractNumId w:val="32"/>
  </w:num>
  <w:num w:numId="42">
    <w:abstractNumId w:val="31"/>
  </w:num>
  <w:num w:numId="43">
    <w:abstractNumId w:val="11"/>
  </w:num>
  <w:num w:numId="44">
    <w:abstractNumId w:val="37"/>
  </w:num>
  <w:num w:numId="4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276EB"/>
    <w:rsid w:val="0003300E"/>
    <w:rsid w:val="00091DD9"/>
    <w:rsid w:val="00135515"/>
    <w:rsid w:val="0017693A"/>
    <w:rsid w:val="001A0788"/>
    <w:rsid w:val="001D6C99"/>
    <w:rsid w:val="002C7F9C"/>
    <w:rsid w:val="002D108D"/>
    <w:rsid w:val="002E46DB"/>
    <w:rsid w:val="00325C80"/>
    <w:rsid w:val="00363708"/>
    <w:rsid w:val="00365E49"/>
    <w:rsid w:val="003A073E"/>
    <w:rsid w:val="003C0605"/>
    <w:rsid w:val="003D6325"/>
    <w:rsid w:val="00416FC3"/>
    <w:rsid w:val="004676FD"/>
    <w:rsid w:val="004936BB"/>
    <w:rsid w:val="005E3B09"/>
    <w:rsid w:val="005E3B6A"/>
    <w:rsid w:val="006342C1"/>
    <w:rsid w:val="00645712"/>
    <w:rsid w:val="00671E68"/>
    <w:rsid w:val="00701CB8"/>
    <w:rsid w:val="00715824"/>
    <w:rsid w:val="00722273"/>
    <w:rsid w:val="007961DB"/>
    <w:rsid w:val="007A3168"/>
    <w:rsid w:val="007C35C5"/>
    <w:rsid w:val="007E310A"/>
    <w:rsid w:val="008001EE"/>
    <w:rsid w:val="0080729D"/>
    <w:rsid w:val="008D0106"/>
    <w:rsid w:val="008F6296"/>
    <w:rsid w:val="00904532"/>
    <w:rsid w:val="00912DA4"/>
    <w:rsid w:val="00931966"/>
    <w:rsid w:val="00992440"/>
    <w:rsid w:val="00A97010"/>
    <w:rsid w:val="00AA22FC"/>
    <w:rsid w:val="00AA29D3"/>
    <w:rsid w:val="00AB0462"/>
    <w:rsid w:val="00AB2816"/>
    <w:rsid w:val="00B11EC4"/>
    <w:rsid w:val="00B32355"/>
    <w:rsid w:val="00B85E6B"/>
    <w:rsid w:val="00BE2EA6"/>
    <w:rsid w:val="00BE67C8"/>
    <w:rsid w:val="00D02305"/>
    <w:rsid w:val="00D374C9"/>
    <w:rsid w:val="00D42A2E"/>
    <w:rsid w:val="00D828AA"/>
    <w:rsid w:val="00DB36B6"/>
    <w:rsid w:val="00DC79AA"/>
    <w:rsid w:val="00DD0BCB"/>
    <w:rsid w:val="00E35D65"/>
    <w:rsid w:val="00E465A9"/>
    <w:rsid w:val="00E92890"/>
    <w:rsid w:val="00F1461A"/>
    <w:rsid w:val="00F30C7C"/>
    <w:rsid w:val="00F405D3"/>
    <w:rsid w:val="00F55975"/>
    <w:rsid w:val="00F7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C938F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character" w:customStyle="1" w:styleId="NoSpacingChar">
    <w:name w:val="No Spacing Char"/>
    <w:link w:val="NoSpacing"/>
    <w:uiPriority w:val="1"/>
    <w:locked/>
    <w:rsid w:val="00AB0462"/>
  </w:style>
  <w:style w:type="paragraph" w:styleId="Footer">
    <w:name w:val="footer"/>
    <w:basedOn w:val="Normal"/>
    <w:link w:val="FooterChar"/>
    <w:uiPriority w:val="99"/>
    <w:unhideWhenUsed/>
    <w:rsid w:val="00E35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65"/>
  </w:style>
  <w:style w:type="paragraph" w:styleId="Title">
    <w:name w:val="Title"/>
    <w:basedOn w:val="Normal"/>
    <w:link w:val="TitleChar"/>
    <w:qFormat/>
    <w:rsid w:val="00E35D65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35D65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E35D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E35D65"/>
    <w:rPr>
      <w:rFonts w:asciiTheme="majorHAnsi" w:hAnsiTheme="majorHAnsi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ducation.vic.gov.au/school/principals/spag/infrastructure/pages/miorwrk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B6E37-8DD1-449B-9D52-125D9C040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56D7D-030B-4CC3-B608-0529714E2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6E3D83-FEEC-49FD-9A24-009BC0014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10</cp:revision>
  <dcterms:created xsi:type="dcterms:W3CDTF">2017-02-16T04:12:00Z</dcterms:created>
  <dcterms:modified xsi:type="dcterms:W3CDTF">2018-01-01T06:02:00Z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