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8F3" w:rsidRPr="00642041" w:rsidRDefault="00C518F3" w:rsidP="00642041">
      <w:pPr>
        <w:pStyle w:val="NoSpacing"/>
        <w:ind w:left="567" w:right="95" w:hanging="567"/>
        <w:jc w:val="both"/>
        <w:rPr>
          <w:rStyle w:val="SubtleReference"/>
        </w:rPr>
      </w:pPr>
      <w:r w:rsidRPr="00642041">
        <w:rPr>
          <w:rStyle w:val="SubtleReference"/>
        </w:rPr>
        <w:t>Rationale</w:t>
      </w:r>
    </w:p>
    <w:p w:rsidR="00C518F3" w:rsidRPr="00642041" w:rsidRDefault="00C518F3" w:rsidP="00642041">
      <w:pPr>
        <w:pStyle w:val="NoSpacing"/>
        <w:numPr>
          <w:ilvl w:val="0"/>
          <w:numId w:val="5"/>
        </w:numPr>
        <w:ind w:left="567" w:right="95" w:hanging="567"/>
        <w:jc w:val="both"/>
        <w:rPr>
          <w:rFonts w:asciiTheme="majorHAnsi" w:hAnsiTheme="majorHAnsi"/>
          <w:sz w:val="24"/>
          <w:szCs w:val="24"/>
        </w:rPr>
      </w:pPr>
      <w:r w:rsidRPr="00642041">
        <w:rPr>
          <w:rFonts w:asciiTheme="majorHAnsi" w:hAnsiTheme="majorHAnsi"/>
          <w:sz w:val="24"/>
          <w:szCs w:val="24"/>
        </w:rPr>
        <w:t xml:space="preserve">The </w:t>
      </w:r>
      <w:proofErr w:type="gramStart"/>
      <w:r w:rsidRPr="00642041">
        <w:rPr>
          <w:rFonts w:asciiTheme="majorHAnsi" w:hAnsiTheme="majorHAnsi"/>
          <w:sz w:val="24"/>
          <w:szCs w:val="24"/>
        </w:rPr>
        <w:t>Public Sector</w:t>
      </w:r>
      <w:proofErr w:type="gramEnd"/>
      <w:r w:rsidRPr="00642041">
        <w:rPr>
          <w:rFonts w:asciiTheme="majorHAnsi" w:hAnsiTheme="majorHAnsi"/>
          <w:sz w:val="24"/>
          <w:szCs w:val="24"/>
        </w:rPr>
        <w:t xml:space="preserve"> Standards Commissioner issued the </w:t>
      </w:r>
      <w:r w:rsidRPr="00642041">
        <w:rPr>
          <w:rStyle w:val="Emphasis"/>
          <w:rFonts w:asciiTheme="majorHAnsi" w:hAnsiTheme="majorHAnsi" w:cs="Arial"/>
          <w:sz w:val="24"/>
          <w:szCs w:val="24"/>
        </w:rPr>
        <w:t>Gifts, Benefits and Hospitality Policy Framework for the Victorian Public Sector</w:t>
      </w:r>
      <w:r w:rsidRPr="00642041">
        <w:rPr>
          <w:rFonts w:asciiTheme="majorHAnsi" w:hAnsiTheme="majorHAnsi"/>
          <w:sz w:val="24"/>
          <w:szCs w:val="24"/>
        </w:rPr>
        <w:t xml:space="preserve"> (March 2010) requiring all public sector entities including government schools to ensure that they have gifts, benefits and hospitality policies and processes that satisfy the requirements of the Framework</w:t>
      </w:r>
    </w:p>
    <w:p w:rsidR="00C518F3" w:rsidRPr="00642041" w:rsidRDefault="00C518F3" w:rsidP="00642041">
      <w:pPr>
        <w:pStyle w:val="NoSpacing"/>
        <w:numPr>
          <w:ilvl w:val="0"/>
          <w:numId w:val="5"/>
        </w:numPr>
        <w:ind w:left="567" w:right="95" w:hanging="567"/>
        <w:jc w:val="both"/>
        <w:rPr>
          <w:rFonts w:asciiTheme="majorHAnsi" w:hAnsiTheme="majorHAnsi"/>
          <w:color w:val="000000"/>
          <w:sz w:val="24"/>
          <w:szCs w:val="24"/>
        </w:rPr>
      </w:pPr>
      <w:r w:rsidRPr="00642041">
        <w:rPr>
          <w:rFonts w:asciiTheme="majorHAnsi" w:hAnsiTheme="majorHAnsi"/>
          <w:sz w:val="24"/>
          <w:szCs w:val="24"/>
        </w:rPr>
        <w:t xml:space="preserve">Schools must </w:t>
      </w:r>
      <w:r w:rsidRPr="00642041">
        <w:rPr>
          <w:rFonts w:asciiTheme="majorHAnsi" w:hAnsiTheme="majorHAnsi"/>
          <w:color w:val="000000"/>
          <w:sz w:val="24"/>
          <w:szCs w:val="24"/>
        </w:rPr>
        <w:t>establish a process for ensuring that all staff and School Council members are advised of the policy requirements and establish a gift register to keep records of accepted gifts, benefits and hospitality of more than nominal value.</w:t>
      </w:r>
    </w:p>
    <w:p w:rsidR="00C518F3" w:rsidRPr="00642041" w:rsidRDefault="00C518F3" w:rsidP="00642041">
      <w:pPr>
        <w:pStyle w:val="NoSpacing"/>
        <w:numPr>
          <w:ilvl w:val="0"/>
          <w:numId w:val="5"/>
        </w:numPr>
        <w:ind w:left="567" w:right="95" w:hanging="567"/>
        <w:jc w:val="both"/>
        <w:rPr>
          <w:rFonts w:asciiTheme="majorHAnsi" w:hAnsiTheme="majorHAnsi"/>
          <w:color w:val="000000"/>
          <w:sz w:val="24"/>
          <w:szCs w:val="24"/>
        </w:rPr>
      </w:pPr>
      <w:r w:rsidRPr="00642041">
        <w:rPr>
          <w:rFonts w:asciiTheme="majorHAnsi" w:hAnsiTheme="majorHAnsi"/>
          <w:sz w:val="24"/>
          <w:szCs w:val="24"/>
        </w:rPr>
        <w:t>The Principal must monitor the gift register records which are to be reviewed annually by the School Council.</w:t>
      </w:r>
    </w:p>
    <w:p w:rsidR="00C518F3" w:rsidRPr="00642041" w:rsidRDefault="00C518F3" w:rsidP="00642041">
      <w:pPr>
        <w:pStyle w:val="NoSpacing"/>
        <w:numPr>
          <w:ilvl w:val="0"/>
          <w:numId w:val="5"/>
        </w:numPr>
        <w:ind w:left="567" w:right="95" w:hanging="567"/>
        <w:jc w:val="both"/>
        <w:rPr>
          <w:rFonts w:asciiTheme="majorHAnsi" w:hAnsiTheme="majorHAnsi"/>
          <w:color w:val="000000"/>
          <w:sz w:val="24"/>
          <w:szCs w:val="24"/>
        </w:rPr>
      </w:pPr>
      <w:r w:rsidRPr="00642041">
        <w:rPr>
          <w:rFonts w:asciiTheme="majorHAnsi" w:hAnsiTheme="majorHAnsi"/>
          <w:color w:val="000000"/>
          <w:sz w:val="24"/>
          <w:szCs w:val="24"/>
        </w:rPr>
        <w:t>The policy applies to all DET employees in the public service and teaching service, School Council employees and School Councillors.</w:t>
      </w:r>
    </w:p>
    <w:p w:rsidR="00C518F3" w:rsidRPr="00642041" w:rsidRDefault="00C518F3" w:rsidP="00642041">
      <w:pPr>
        <w:pStyle w:val="NoSpacing"/>
        <w:numPr>
          <w:ilvl w:val="0"/>
          <w:numId w:val="5"/>
        </w:numPr>
        <w:ind w:left="567" w:right="95" w:hanging="567"/>
        <w:jc w:val="both"/>
        <w:rPr>
          <w:rFonts w:asciiTheme="majorHAnsi" w:hAnsiTheme="majorHAnsi"/>
          <w:color w:val="000000"/>
          <w:sz w:val="24"/>
          <w:szCs w:val="24"/>
        </w:rPr>
      </w:pPr>
      <w:r w:rsidRPr="00642041">
        <w:rPr>
          <w:rFonts w:asciiTheme="majorHAnsi" w:hAnsiTheme="majorHAnsi"/>
          <w:color w:val="000000"/>
          <w:sz w:val="24"/>
          <w:szCs w:val="24"/>
        </w:rPr>
        <w:t>The policy does not prevent teachers and Principals from accepting token gifts from students, parents and overseas visitors.</w:t>
      </w:r>
    </w:p>
    <w:p w:rsidR="00C518F3" w:rsidRPr="00642041" w:rsidRDefault="00C518F3" w:rsidP="00642041">
      <w:pPr>
        <w:pStyle w:val="NoSpacing"/>
        <w:numPr>
          <w:ilvl w:val="0"/>
          <w:numId w:val="5"/>
        </w:numPr>
        <w:ind w:left="567" w:right="95" w:hanging="567"/>
        <w:jc w:val="both"/>
        <w:rPr>
          <w:rFonts w:asciiTheme="majorHAnsi" w:hAnsiTheme="majorHAnsi"/>
          <w:sz w:val="24"/>
          <w:szCs w:val="24"/>
        </w:rPr>
      </w:pPr>
      <w:r w:rsidRPr="00642041">
        <w:rPr>
          <w:rFonts w:asciiTheme="majorHAnsi" w:hAnsiTheme="majorHAnsi"/>
          <w:sz w:val="24"/>
          <w:szCs w:val="24"/>
        </w:rPr>
        <w:t>The giving and receiving of gifts and hospitality are commonplace in everyday life. Gifts may be offered to say thanks for good service, a special achievement, or to celebrate an important event. Hospitality may be provided to welcome guests, facilitate relationships or to celebrate achievements.</w:t>
      </w:r>
    </w:p>
    <w:p w:rsidR="00C518F3" w:rsidRPr="00642041" w:rsidRDefault="00C518F3" w:rsidP="00642041">
      <w:pPr>
        <w:pStyle w:val="NoSpacing"/>
        <w:numPr>
          <w:ilvl w:val="0"/>
          <w:numId w:val="5"/>
        </w:numPr>
        <w:ind w:left="567" w:right="95" w:hanging="567"/>
        <w:jc w:val="both"/>
        <w:rPr>
          <w:rFonts w:asciiTheme="majorHAnsi" w:hAnsiTheme="majorHAnsi"/>
          <w:sz w:val="24"/>
          <w:szCs w:val="24"/>
        </w:rPr>
      </w:pPr>
      <w:r w:rsidRPr="00642041">
        <w:rPr>
          <w:rFonts w:asciiTheme="majorHAnsi" w:hAnsiTheme="majorHAnsi"/>
          <w:sz w:val="24"/>
          <w:szCs w:val="24"/>
        </w:rPr>
        <w:t xml:space="preserve">The community expects high standards of integrity and impartiality from Victorian </w:t>
      </w:r>
      <w:proofErr w:type="gramStart"/>
      <w:r w:rsidRPr="00642041">
        <w:rPr>
          <w:rFonts w:asciiTheme="majorHAnsi" w:hAnsiTheme="majorHAnsi"/>
          <w:sz w:val="24"/>
          <w:szCs w:val="24"/>
        </w:rPr>
        <w:t>public sector</w:t>
      </w:r>
      <w:proofErr w:type="gramEnd"/>
      <w:r w:rsidRPr="00642041">
        <w:rPr>
          <w:rFonts w:asciiTheme="majorHAnsi" w:hAnsiTheme="majorHAnsi"/>
          <w:sz w:val="24"/>
          <w:szCs w:val="24"/>
        </w:rPr>
        <w:t xml:space="preserve"> employees and School Councillors. These individuals must not accept or make offers of gifts, benefits or hospitality that influence, or give the impression to influence, any decision unfairly. Whenever DET employees, School Council employees or School Councillors accept or offer gifts and hospitality they must always act fairly and objectively and maintain public trust by being honest, open and transparent. </w:t>
      </w:r>
    </w:p>
    <w:p w:rsidR="00C518F3" w:rsidRPr="00642041" w:rsidRDefault="00C518F3" w:rsidP="00642041">
      <w:pPr>
        <w:pStyle w:val="NoSpacing"/>
        <w:numPr>
          <w:ilvl w:val="0"/>
          <w:numId w:val="5"/>
        </w:numPr>
        <w:ind w:left="567" w:right="95" w:hanging="567"/>
        <w:jc w:val="both"/>
        <w:rPr>
          <w:rFonts w:asciiTheme="majorHAnsi" w:hAnsiTheme="majorHAnsi"/>
          <w:sz w:val="24"/>
          <w:szCs w:val="24"/>
        </w:rPr>
      </w:pPr>
      <w:r w:rsidRPr="00642041">
        <w:rPr>
          <w:rFonts w:asciiTheme="majorHAnsi" w:hAnsiTheme="majorHAnsi"/>
          <w:sz w:val="24"/>
          <w:szCs w:val="24"/>
        </w:rPr>
        <w:t xml:space="preserve">The </w:t>
      </w:r>
      <w:r w:rsidR="00BC26EC" w:rsidRPr="00642041">
        <w:rPr>
          <w:rFonts w:asciiTheme="majorHAnsi" w:hAnsiTheme="majorHAnsi"/>
          <w:sz w:val="24"/>
          <w:szCs w:val="24"/>
        </w:rPr>
        <w:t>p</w:t>
      </w:r>
      <w:r w:rsidRPr="00642041">
        <w:rPr>
          <w:rFonts w:asciiTheme="majorHAnsi" w:hAnsiTheme="majorHAnsi"/>
          <w:sz w:val="24"/>
          <w:szCs w:val="24"/>
        </w:rPr>
        <w:t>olicy also includes gifts, benefits or hospitality given to an employee’s or a School Councillor’s immediate family if the donor can be linked back to the employee’s or School Councillor’s duties and responsibilities.  The policy does not apply to gifts received in a private context.</w:t>
      </w:r>
    </w:p>
    <w:p w:rsidR="00BE2928" w:rsidRPr="00642041" w:rsidRDefault="00BE2928" w:rsidP="00642041">
      <w:pPr>
        <w:pStyle w:val="ListParagraph"/>
        <w:numPr>
          <w:ilvl w:val="0"/>
          <w:numId w:val="5"/>
        </w:numPr>
        <w:ind w:left="567" w:right="95" w:hanging="567"/>
        <w:contextualSpacing w:val="0"/>
        <w:jc w:val="both"/>
        <w:rPr>
          <w:rFonts w:asciiTheme="majorHAnsi" w:hAnsiTheme="majorHAnsi" w:cs="Arial"/>
        </w:rPr>
      </w:pPr>
      <w:r w:rsidRPr="00642041">
        <w:rPr>
          <w:rFonts w:asciiTheme="majorHAnsi" w:hAnsiTheme="majorHAnsi" w:cs="Arial"/>
          <w:color w:val="000000"/>
          <w:lang w:eastAsia="en-AU"/>
        </w:rPr>
        <w:t xml:space="preserve">This policy will guide all individuals as to what they need to do when considering whether to accept gifts, benefits and hospitality.  It is underpinned by the integrity and impartiality values and principles specified in the </w:t>
      </w:r>
      <w:r w:rsidRPr="00642041">
        <w:rPr>
          <w:rFonts w:asciiTheme="majorHAnsi" w:hAnsiTheme="majorHAnsi" w:cs="Arial"/>
          <w:i/>
          <w:iCs/>
          <w:color w:val="000000"/>
          <w:lang w:eastAsia="en-AU"/>
        </w:rPr>
        <w:t>Public Administration Act 2004</w:t>
      </w:r>
      <w:r w:rsidRPr="00642041">
        <w:rPr>
          <w:rFonts w:asciiTheme="majorHAnsi" w:hAnsiTheme="majorHAnsi" w:cs="Arial"/>
          <w:color w:val="000000"/>
          <w:lang w:eastAsia="en-AU"/>
        </w:rPr>
        <w:t xml:space="preserve">, the </w:t>
      </w:r>
      <w:r w:rsidRPr="00642041">
        <w:rPr>
          <w:rFonts w:asciiTheme="majorHAnsi" w:hAnsiTheme="majorHAnsi" w:cs="Arial"/>
          <w:i/>
          <w:iCs/>
          <w:color w:val="000000"/>
          <w:lang w:eastAsia="en-AU"/>
        </w:rPr>
        <w:t xml:space="preserve">Code of Conduct for Victorian </w:t>
      </w:r>
      <w:proofErr w:type="gramStart"/>
      <w:r w:rsidRPr="00642041">
        <w:rPr>
          <w:rFonts w:asciiTheme="majorHAnsi" w:hAnsiTheme="majorHAnsi" w:cs="Arial"/>
          <w:i/>
          <w:iCs/>
          <w:color w:val="000000"/>
          <w:lang w:eastAsia="en-AU"/>
        </w:rPr>
        <w:t>Public Sector</w:t>
      </w:r>
      <w:proofErr w:type="gramEnd"/>
      <w:r w:rsidRPr="00642041">
        <w:rPr>
          <w:rFonts w:asciiTheme="majorHAnsi" w:hAnsiTheme="majorHAnsi" w:cs="Arial"/>
          <w:i/>
          <w:iCs/>
          <w:color w:val="000000"/>
          <w:lang w:eastAsia="en-AU"/>
        </w:rPr>
        <w:t xml:space="preserve"> Employees </w:t>
      </w:r>
      <w:r w:rsidRPr="00642041">
        <w:rPr>
          <w:rFonts w:asciiTheme="majorHAnsi" w:hAnsiTheme="majorHAnsi" w:cs="Arial"/>
          <w:color w:val="000000"/>
          <w:lang w:eastAsia="en-AU"/>
        </w:rPr>
        <w:t xml:space="preserve">and the </w:t>
      </w:r>
      <w:r w:rsidRPr="00642041">
        <w:rPr>
          <w:rFonts w:asciiTheme="majorHAnsi" w:hAnsiTheme="majorHAnsi" w:cs="Arial"/>
          <w:i/>
          <w:iCs/>
          <w:color w:val="000000"/>
          <w:lang w:eastAsia="en-AU"/>
        </w:rPr>
        <w:t>School Council Code of Conduct</w:t>
      </w:r>
      <w:r w:rsidRPr="00642041">
        <w:rPr>
          <w:rFonts w:asciiTheme="majorHAnsi" w:hAnsiTheme="majorHAnsi" w:cs="Arial"/>
          <w:color w:val="000000"/>
          <w:lang w:eastAsia="en-AU"/>
        </w:rPr>
        <w:t>.</w:t>
      </w:r>
    </w:p>
    <w:p w:rsidR="00BE2928" w:rsidRPr="00642041" w:rsidRDefault="00BE2928" w:rsidP="00642041">
      <w:pPr>
        <w:pStyle w:val="NoSpacing"/>
        <w:ind w:left="567" w:right="95" w:hanging="567"/>
        <w:jc w:val="both"/>
        <w:rPr>
          <w:rFonts w:asciiTheme="majorHAnsi" w:hAnsiTheme="majorHAnsi"/>
          <w:sz w:val="24"/>
          <w:szCs w:val="24"/>
        </w:rPr>
      </w:pPr>
    </w:p>
    <w:p w:rsidR="00C518F3" w:rsidRPr="00642041" w:rsidRDefault="00C518F3" w:rsidP="00642041">
      <w:pPr>
        <w:pStyle w:val="NoSpacing"/>
        <w:ind w:left="567" w:right="95" w:hanging="567"/>
        <w:jc w:val="both"/>
        <w:rPr>
          <w:rStyle w:val="SubtleReference"/>
        </w:rPr>
      </w:pPr>
      <w:r w:rsidRPr="00642041">
        <w:rPr>
          <w:rStyle w:val="SubtleReference"/>
        </w:rPr>
        <w:t>Purpose</w:t>
      </w:r>
    </w:p>
    <w:p w:rsidR="00C518F3" w:rsidRPr="00642041" w:rsidRDefault="00C518F3" w:rsidP="00642041">
      <w:pPr>
        <w:pStyle w:val="NoSpacing"/>
        <w:numPr>
          <w:ilvl w:val="0"/>
          <w:numId w:val="6"/>
        </w:numPr>
        <w:ind w:left="567" w:right="95" w:hanging="567"/>
        <w:jc w:val="both"/>
        <w:rPr>
          <w:rFonts w:asciiTheme="majorHAnsi" w:hAnsiTheme="majorHAnsi"/>
          <w:sz w:val="24"/>
          <w:szCs w:val="24"/>
        </w:rPr>
      </w:pPr>
      <w:r w:rsidRPr="00642041">
        <w:rPr>
          <w:rFonts w:asciiTheme="majorHAnsi" w:hAnsiTheme="majorHAnsi"/>
          <w:sz w:val="24"/>
          <w:szCs w:val="24"/>
        </w:rPr>
        <w:t xml:space="preserve">To ensure </w:t>
      </w:r>
      <w:r w:rsidR="00BC26EC" w:rsidRPr="00642041">
        <w:rPr>
          <w:rFonts w:asciiTheme="majorHAnsi" w:hAnsiTheme="majorHAnsi"/>
          <w:sz w:val="24"/>
          <w:szCs w:val="24"/>
        </w:rPr>
        <w:t>Charles La Trobe College</w:t>
      </w:r>
      <w:r w:rsidRPr="00642041">
        <w:rPr>
          <w:rFonts w:asciiTheme="majorHAnsi" w:hAnsiTheme="majorHAnsi"/>
          <w:sz w:val="24"/>
          <w:szCs w:val="24"/>
        </w:rPr>
        <w:t>’s policies and practices comply with DET policy in relation to the receipt of gifts, benefits and hospitality.</w:t>
      </w:r>
    </w:p>
    <w:p w:rsidR="00C518F3" w:rsidRPr="00642041" w:rsidRDefault="00C518F3" w:rsidP="00642041">
      <w:pPr>
        <w:pStyle w:val="NoSpacing"/>
        <w:numPr>
          <w:ilvl w:val="0"/>
          <w:numId w:val="6"/>
        </w:numPr>
        <w:ind w:left="567" w:right="95" w:hanging="567"/>
        <w:jc w:val="both"/>
        <w:rPr>
          <w:rFonts w:asciiTheme="majorHAnsi" w:hAnsiTheme="majorHAnsi"/>
          <w:sz w:val="24"/>
          <w:szCs w:val="24"/>
        </w:rPr>
      </w:pPr>
      <w:r w:rsidRPr="00642041">
        <w:rPr>
          <w:rFonts w:asciiTheme="majorHAnsi" w:hAnsiTheme="majorHAnsi"/>
          <w:sz w:val="24"/>
          <w:szCs w:val="24"/>
        </w:rPr>
        <w:t xml:space="preserve">To ensure the school complies with the minimum requirements and accountabilities as outlined in the revised Gifts, Benefits &amp; Hospitality Policy Revised </w:t>
      </w:r>
      <w:r w:rsidR="00FA5873" w:rsidRPr="00642041">
        <w:rPr>
          <w:rFonts w:asciiTheme="majorHAnsi" w:hAnsiTheme="majorHAnsi"/>
          <w:sz w:val="24"/>
          <w:szCs w:val="24"/>
        </w:rPr>
        <w:t>February 2017</w:t>
      </w:r>
      <w:r w:rsidRPr="00642041">
        <w:rPr>
          <w:rFonts w:asciiTheme="majorHAnsi" w:hAnsiTheme="majorHAnsi"/>
          <w:sz w:val="24"/>
          <w:szCs w:val="24"/>
        </w:rPr>
        <w:t xml:space="preserve"> (for DET Employees, Teaching Service Employees, School Council Employees and School Councillors)</w:t>
      </w:r>
    </w:p>
    <w:p w:rsidR="00C518F3" w:rsidRPr="00642041" w:rsidRDefault="00C518F3" w:rsidP="00642041">
      <w:pPr>
        <w:pStyle w:val="NoSpacing"/>
        <w:ind w:left="567" w:right="95" w:hanging="567"/>
        <w:jc w:val="both"/>
        <w:rPr>
          <w:rFonts w:asciiTheme="majorHAnsi" w:hAnsiTheme="majorHAnsi"/>
          <w:sz w:val="24"/>
          <w:szCs w:val="24"/>
        </w:rPr>
      </w:pPr>
    </w:p>
    <w:p w:rsidR="00BE2928" w:rsidRPr="00642041" w:rsidRDefault="00BE2928" w:rsidP="00642041">
      <w:pPr>
        <w:pStyle w:val="NoSpacing"/>
        <w:ind w:left="567" w:right="95" w:hanging="567"/>
        <w:jc w:val="both"/>
        <w:rPr>
          <w:rFonts w:asciiTheme="majorHAnsi" w:hAnsiTheme="majorHAnsi"/>
          <w:sz w:val="24"/>
          <w:szCs w:val="24"/>
        </w:rPr>
      </w:pPr>
    </w:p>
    <w:p w:rsidR="00C518F3" w:rsidRPr="00642041" w:rsidRDefault="00C518F3" w:rsidP="00642041">
      <w:pPr>
        <w:pStyle w:val="NoSpacing"/>
        <w:ind w:right="95"/>
        <w:jc w:val="both"/>
        <w:rPr>
          <w:rStyle w:val="SubtleReference"/>
        </w:rPr>
      </w:pPr>
      <w:r w:rsidRPr="00642041">
        <w:rPr>
          <w:rStyle w:val="SubtleReference"/>
        </w:rPr>
        <w:lastRenderedPageBreak/>
        <w:t>Definitions</w:t>
      </w:r>
    </w:p>
    <w:p w:rsidR="00C518F3" w:rsidRPr="00642041" w:rsidRDefault="00C518F3" w:rsidP="00642041">
      <w:pPr>
        <w:pStyle w:val="NoSpacing"/>
        <w:ind w:right="95"/>
        <w:jc w:val="both"/>
        <w:rPr>
          <w:rFonts w:asciiTheme="majorHAnsi" w:hAnsiTheme="majorHAnsi"/>
          <w:sz w:val="24"/>
          <w:szCs w:val="24"/>
        </w:rPr>
      </w:pPr>
      <w:r w:rsidRPr="00642041">
        <w:rPr>
          <w:rFonts w:asciiTheme="majorHAnsi" w:hAnsiTheme="majorHAnsi"/>
          <w:b/>
          <w:bCs/>
          <w:i/>
          <w:iCs/>
          <w:sz w:val="24"/>
          <w:szCs w:val="24"/>
        </w:rPr>
        <w:t xml:space="preserve">Gifts </w:t>
      </w:r>
      <w:r w:rsidRPr="00642041">
        <w:rPr>
          <w:rFonts w:asciiTheme="majorHAnsi" w:hAnsiTheme="majorHAnsi"/>
          <w:sz w:val="24"/>
          <w:szCs w:val="24"/>
        </w:rPr>
        <w:t xml:space="preserve">are the free or heavily discounted items, intangible benefits or hospitality exceeding common courtesy that are offered to employees or school councillors in association with their duties and responsibilities. </w:t>
      </w:r>
    </w:p>
    <w:p w:rsidR="00642041" w:rsidRDefault="00642041" w:rsidP="00642041">
      <w:pPr>
        <w:pStyle w:val="NoSpacing"/>
        <w:ind w:right="95"/>
        <w:jc w:val="both"/>
        <w:rPr>
          <w:rFonts w:asciiTheme="majorHAnsi" w:hAnsiTheme="majorHAnsi"/>
          <w:b/>
          <w:bCs/>
          <w:i/>
          <w:iCs/>
          <w:sz w:val="24"/>
          <w:szCs w:val="24"/>
        </w:rPr>
      </w:pPr>
    </w:p>
    <w:p w:rsidR="00C518F3" w:rsidRPr="00642041" w:rsidRDefault="00C518F3" w:rsidP="00642041">
      <w:pPr>
        <w:pStyle w:val="NoSpacing"/>
        <w:ind w:right="95"/>
        <w:jc w:val="both"/>
        <w:rPr>
          <w:rFonts w:asciiTheme="majorHAnsi" w:hAnsiTheme="majorHAnsi"/>
          <w:sz w:val="24"/>
          <w:szCs w:val="24"/>
        </w:rPr>
      </w:pPr>
      <w:r w:rsidRPr="00642041">
        <w:rPr>
          <w:rFonts w:asciiTheme="majorHAnsi" w:hAnsiTheme="majorHAnsi"/>
          <w:b/>
          <w:bCs/>
          <w:i/>
          <w:iCs/>
          <w:sz w:val="24"/>
          <w:szCs w:val="24"/>
        </w:rPr>
        <w:t>Benefits</w:t>
      </w:r>
      <w:r w:rsidRPr="00642041">
        <w:rPr>
          <w:rFonts w:asciiTheme="majorHAnsi" w:hAnsiTheme="majorHAnsi"/>
          <w:bCs/>
          <w:i/>
          <w:iCs/>
          <w:sz w:val="24"/>
          <w:szCs w:val="24"/>
        </w:rPr>
        <w:t xml:space="preserve"> </w:t>
      </w:r>
      <w:r w:rsidRPr="00642041">
        <w:rPr>
          <w:rFonts w:asciiTheme="majorHAnsi" w:hAnsiTheme="majorHAnsi"/>
          <w:sz w:val="24"/>
          <w:szCs w:val="24"/>
        </w:rPr>
        <w:t xml:space="preserve">are the privileged treatment, privileged access, favours or other advantage offered to an individual. They include invitations to sporting, cultural or social events, access to discounts and loyalty programs and promises of a new job. While their value may sometimes be difficult to quantify in dollars, they may be highly valued by the intended recipient and therefore used to influence behaviour. </w:t>
      </w:r>
    </w:p>
    <w:p w:rsidR="00642041" w:rsidRDefault="00642041" w:rsidP="00642041">
      <w:pPr>
        <w:pStyle w:val="NoSpacing"/>
        <w:ind w:right="95"/>
        <w:jc w:val="both"/>
        <w:rPr>
          <w:rFonts w:asciiTheme="majorHAnsi" w:hAnsiTheme="majorHAnsi"/>
          <w:b/>
          <w:bCs/>
          <w:i/>
          <w:iCs/>
          <w:sz w:val="24"/>
          <w:szCs w:val="24"/>
        </w:rPr>
      </w:pPr>
    </w:p>
    <w:p w:rsidR="00C518F3" w:rsidRPr="00642041" w:rsidRDefault="00C518F3" w:rsidP="00642041">
      <w:pPr>
        <w:pStyle w:val="NoSpacing"/>
        <w:ind w:right="95"/>
        <w:jc w:val="both"/>
        <w:rPr>
          <w:rFonts w:asciiTheme="majorHAnsi" w:hAnsiTheme="majorHAnsi"/>
          <w:sz w:val="24"/>
          <w:szCs w:val="24"/>
        </w:rPr>
      </w:pPr>
      <w:r w:rsidRPr="00642041">
        <w:rPr>
          <w:rFonts w:asciiTheme="majorHAnsi" w:hAnsiTheme="majorHAnsi"/>
          <w:b/>
          <w:bCs/>
          <w:i/>
          <w:iCs/>
          <w:sz w:val="24"/>
          <w:szCs w:val="24"/>
        </w:rPr>
        <w:t>Hospitality</w:t>
      </w:r>
      <w:r w:rsidRPr="00642041">
        <w:rPr>
          <w:rFonts w:asciiTheme="majorHAnsi" w:hAnsiTheme="majorHAnsi"/>
          <w:bCs/>
          <w:i/>
          <w:iCs/>
          <w:sz w:val="24"/>
          <w:szCs w:val="24"/>
        </w:rPr>
        <w:t xml:space="preserve"> </w:t>
      </w:r>
      <w:r w:rsidRPr="00642041">
        <w:rPr>
          <w:rFonts w:asciiTheme="majorHAnsi" w:hAnsiTheme="majorHAnsi"/>
          <w:sz w:val="24"/>
          <w:szCs w:val="24"/>
        </w:rPr>
        <w:t xml:space="preserve">is the friendly reception and treatment of guests. It is hospitable to offer light refreshments </w:t>
      </w:r>
      <w:proofErr w:type="gramStart"/>
      <w:r w:rsidRPr="00642041">
        <w:rPr>
          <w:rFonts w:asciiTheme="majorHAnsi" w:hAnsiTheme="majorHAnsi"/>
          <w:sz w:val="24"/>
          <w:szCs w:val="24"/>
        </w:rPr>
        <w:t>in the course of</w:t>
      </w:r>
      <w:proofErr w:type="gramEnd"/>
      <w:r w:rsidRPr="00642041">
        <w:rPr>
          <w:rFonts w:asciiTheme="majorHAnsi" w:hAnsiTheme="majorHAnsi"/>
          <w:sz w:val="24"/>
          <w:szCs w:val="24"/>
        </w:rPr>
        <w:t xml:space="preserve"> a business meeting or as part of a conference program. Hospitality can range from offers of light refreshments at a business meeting to restaurant meals and sponsored travel and accommodation.</w:t>
      </w:r>
      <w:r w:rsidR="00BC26EC" w:rsidRPr="00642041">
        <w:rPr>
          <w:rFonts w:asciiTheme="majorHAnsi" w:hAnsiTheme="majorHAnsi"/>
          <w:sz w:val="24"/>
          <w:szCs w:val="24"/>
        </w:rPr>
        <w:t xml:space="preserve">  Hospitality may be provided in three situations:</w:t>
      </w:r>
    </w:p>
    <w:p w:rsidR="00642041" w:rsidRDefault="00642041" w:rsidP="00642041">
      <w:pPr>
        <w:pStyle w:val="NoSpacing"/>
        <w:ind w:left="567" w:right="95" w:hanging="567"/>
        <w:jc w:val="both"/>
        <w:rPr>
          <w:rFonts w:asciiTheme="majorHAnsi" w:hAnsiTheme="majorHAnsi"/>
          <w:bCs/>
          <w:i/>
          <w:iCs/>
          <w:sz w:val="24"/>
          <w:szCs w:val="24"/>
          <w:u w:val="single"/>
        </w:rPr>
      </w:pPr>
    </w:p>
    <w:p w:rsidR="00BC26EC" w:rsidRPr="00642041" w:rsidRDefault="00BC26EC" w:rsidP="00642041">
      <w:pPr>
        <w:pStyle w:val="NoSpacing"/>
        <w:ind w:left="567" w:right="95" w:hanging="567"/>
        <w:jc w:val="both"/>
        <w:rPr>
          <w:rFonts w:asciiTheme="majorHAnsi" w:hAnsiTheme="majorHAnsi"/>
          <w:sz w:val="24"/>
          <w:szCs w:val="24"/>
        </w:rPr>
      </w:pPr>
      <w:r w:rsidRPr="00642041">
        <w:rPr>
          <w:rFonts w:asciiTheme="majorHAnsi" w:hAnsiTheme="majorHAnsi"/>
          <w:bCs/>
          <w:i/>
          <w:iCs/>
          <w:sz w:val="24"/>
          <w:szCs w:val="24"/>
          <w:u w:val="single"/>
        </w:rPr>
        <w:t>Official State Hospitality, Official Hospitality &amp; General Hospitality</w:t>
      </w:r>
      <w:r w:rsidRPr="00642041">
        <w:rPr>
          <w:rFonts w:asciiTheme="majorHAnsi" w:hAnsiTheme="majorHAnsi"/>
          <w:b/>
          <w:bCs/>
          <w:i/>
          <w:iCs/>
          <w:sz w:val="24"/>
          <w:szCs w:val="24"/>
        </w:rPr>
        <w:t>.</w:t>
      </w:r>
    </w:p>
    <w:p w:rsidR="00B5278D" w:rsidRDefault="00B5278D" w:rsidP="00642041">
      <w:pPr>
        <w:pStyle w:val="NoSpacing"/>
        <w:ind w:right="95"/>
        <w:jc w:val="both"/>
        <w:rPr>
          <w:rFonts w:asciiTheme="majorHAnsi" w:hAnsiTheme="majorHAnsi"/>
          <w:sz w:val="24"/>
          <w:szCs w:val="24"/>
        </w:rPr>
      </w:pPr>
      <w:r w:rsidRPr="00642041">
        <w:rPr>
          <w:rFonts w:asciiTheme="majorHAnsi" w:hAnsiTheme="majorHAnsi"/>
          <w:b/>
          <w:i/>
          <w:sz w:val="24"/>
          <w:szCs w:val="24"/>
        </w:rPr>
        <w:t>Host</w:t>
      </w:r>
      <w:r w:rsidRPr="00642041">
        <w:rPr>
          <w:rFonts w:asciiTheme="majorHAnsi" w:hAnsiTheme="majorHAnsi"/>
          <w:b/>
          <w:sz w:val="24"/>
          <w:szCs w:val="24"/>
        </w:rPr>
        <w:t xml:space="preserve"> </w:t>
      </w:r>
      <w:r w:rsidRPr="00642041">
        <w:rPr>
          <w:rFonts w:asciiTheme="majorHAnsi" w:hAnsiTheme="majorHAnsi"/>
          <w:sz w:val="24"/>
          <w:szCs w:val="24"/>
        </w:rPr>
        <w:t xml:space="preserve">is the person, office holder or organisation which authorises, organises and pays for an event. Responsibilities of a </w:t>
      </w:r>
      <w:proofErr w:type="gramStart"/>
      <w:r w:rsidRPr="00642041">
        <w:rPr>
          <w:rFonts w:asciiTheme="majorHAnsi" w:hAnsiTheme="majorHAnsi"/>
          <w:sz w:val="24"/>
          <w:szCs w:val="24"/>
        </w:rPr>
        <w:t>public sector</w:t>
      </w:r>
      <w:proofErr w:type="gramEnd"/>
      <w:r w:rsidRPr="00642041">
        <w:rPr>
          <w:rFonts w:asciiTheme="majorHAnsi" w:hAnsiTheme="majorHAnsi"/>
          <w:sz w:val="24"/>
          <w:szCs w:val="24"/>
        </w:rPr>
        <w:t xml:space="preserve"> host include initiating the event and approving decisions, for example in relation to cost, selecting invitees, ensuring the event runs smoothly and meets its objectives, and facilitating relationships between invitees.</w:t>
      </w:r>
    </w:p>
    <w:p w:rsidR="00642041" w:rsidRPr="00642041" w:rsidRDefault="00642041" w:rsidP="00642041">
      <w:pPr>
        <w:pStyle w:val="NoSpacing"/>
        <w:ind w:right="95"/>
        <w:jc w:val="both"/>
        <w:rPr>
          <w:rFonts w:asciiTheme="majorHAnsi" w:hAnsiTheme="majorHAnsi"/>
          <w:sz w:val="24"/>
          <w:szCs w:val="24"/>
        </w:rPr>
      </w:pPr>
    </w:p>
    <w:p w:rsidR="00C518F3" w:rsidRDefault="00C518F3" w:rsidP="00642041">
      <w:pPr>
        <w:pStyle w:val="NoSpacing"/>
        <w:ind w:right="95"/>
        <w:jc w:val="both"/>
        <w:rPr>
          <w:rFonts w:asciiTheme="majorHAnsi" w:hAnsiTheme="majorHAnsi"/>
          <w:sz w:val="24"/>
          <w:szCs w:val="24"/>
        </w:rPr>
      </w:pPr>
      <w:r w:rsidRPr="00642041">
        <w:rPr>
          <w:rFonts w:asciiTheme="majorHAnsi" w:hAnsiTheme="majorHAnsi"/>
          <w:b/>
          <w:i/>
          <w:sz w:val="24"/>
          <w:szCs w:val="24"/>
        </w:rPr>
        <w:t>Reportable gifts</w:t>
      </w:r>
      <w:r w:rsidRPr="00642041">
        <w:rPr>
          <w:rFonts w:asciiTheme="majorHAnsi" w:hAnsiTheme="majorHAnsi"/>
          <w:sz w:val="24"/>
          <w:szCs w:val="24"/>
        </w:rPr>
        <w:t xml:space="preserve"> are those that must be recorded, typically on a gift declaration form and/or gift register. At </w:t>
      </w:r>
      <w:proofErr w:type="gramStart"/>
      <w:r w:rsidRPr="00642041">
        <w:rPr>
          <w:rFonts w:asciiTheme="majorHAnsi" w:hAnsiTheme="majorHAnsi"/>
          <w:sz w:val="24"/>
          <w:szCs w:val="24"/>
        </w:rPr>
        <w:t>a minimum, reportable gifts</w:t>
      </w:r>
      <w:proofErr w:type="gramEnd"/>
      <w:r w:rsidRPr="00642041">
        <w:rPr>
          <w:rFonts w:asciiTheme="majorHAnsi" w:hAnsiTheme="majorHAnsi"/>
          <w:sz w:val="24"/>
          <w:szCs w:val="24"/>
        </w:rPr>
        <w:t xml:space="preserve"> include accepted gifts, benefits and hospitality that exceed a nominal value. They could also include gift offers of any value, whether they are accepted or not. The gifts may have been offered to an employee directly, or extended to them as a guest of their partner or other close relation. </w:t>
      </w:r>
    </w:p>
    <w:p w:rsidR="00642041" w:rsidRPr="00642041" w:rsidRDefault="00642041" w:rsidP="00642041">
      <w:pPr>
        <w:pStyle w:val="NoSpacing"/>
        <w:ind w:right="95"/>
        <w:jc w:val="both"/>
        <w:rPr>
          <w:rFonts w:asciiTheme="majorHAnsi" w:hAnsiTheme="majorHAnsi"/>
          <w:sz w:val="24"/>
          <w:szCs w:val="24"/>
        </w:rPr>
      </w:pPr>
    </w:p>
    <w:p w:rsidR="00C518F3" w:rsidRDefault="00C518F3" w:rsidP="00642041">
      <w:pPr>
        <w:pStyle w:val="NoSpacing"/>
        <w:ind w:right="95"/>
        <w:jc w:val="both"/>
        <w:rPr>
          <w:rFonts w:asciiTheme="majorHAnsi" w:hAnsiTheme="majorHAnsi"/>
          <w:sz w:val="24"/>
          <w:szCs w:val="24"/>
        </w:rPr>
      </w:pPr>
      <w:r w:rsidRPr="00642041">
        <w:rPr>
          <w:rFonts w:asciiTheme="majorHAnsi" w:hAnsiTheme="majorHAnsi"/>
          <w:b/>
          <w:i/>
          <w:sz w:val="24"/>
          <w:szCs w:val="24"/>
        </w:rPr>
        <w:t>Nominal value</w:t>
      </w:r>
      <w:r w:rsidRPr="00642041">
        <w:rPr>
          <w:rFonts w:asciiTheme="majorHAnsi" w:hAnsiTheme="majorHAnsi"/>
          <w:b/>
          <w:sz w:val="24"/>
          <w:szCs w:val="24"/>
        </w:rPr>
        <w:t xml:space="preserve"> </w:t>
      </w:r>
      <w:r w:rsidRPr="00642041">
        <w:rPr>
          <w:rFonts w:asciiTheme="majorHAnsi" w:hAnsiTheme="majorHAnsi"/>
          <w:sz w:val="24"/>
          <w:szCs w:val="24"/>
        </w:rPr>
        <w:t>refers to the value of the gift offer.  It is used</w:t>
      </w:r>
      <w:r w:rsidR="00BE2928" w:rsidRPr="00642041">
        <w:rPr>
          <w:rFonts w:asciiTheme="majorHAnsi" w:hAnsiTheme="majorHAnsi"/>
          <w:sz w:val="24"/>
          <w:szCs w:val="24"/>
        </w:rPr>
        <w:t xml:space="preserve"> to determine whether an offer can be accepted and </w:t>
      </w:r>
      <w:r w:rsidRPr="00642041">
        <w:rPr>
          <w:rFonts w:asciiTheme="majorHAnsi" w:hAnsiTheme="majorHAnsi"/>
          <w:sz w:val="24"/>
          <w:szCs w:val="24"/>
        </w:rPr>
        <w:t>if accepted</w:t>
      </w:r>
      <w:r w:rsidR="00BE2928" w:rsidRPr="00642041">
        <w:rPr>
          <w:rFonts w:asciiTheme="majorHAnsi" w:hAnsiTheme="majorHAnsi"/>
          <w:sz w:val="24"/>
          <w:szCs w:val="24"/>
        </w:rPr>
        <w:t>, needs to be recorded</w:t>
      </w:r>
      <w:r w:rsidRPr="00642041">
        <w:rPr>
          <w:rFonts w:asciiTheme="majorHAnsi" w:hAnsiTheme="majorHAnsi"/>
          <w:sz w:val="24"/>
          <w:szCs w:val="24"/>
        </w:rPr>
        <w:t>.</w:t>
      </w:r>
    </w:p>
    <w:p w:rsidR="00642041" w:rsidRPr="00642041" w:rsidRDefault="00642041" w:rsidP="00642041">
      <w:pPr>
        <w:pStyle w:val="NoSpacing"/>
        <w:ind w:right="95"/>
        <w:jc w:val="both"/>
        <w:rPr>
          <w:rFonts w:asciiTheme="majorHAnsi" w:hAnsiTheme="majorHAnsi"/>
          <w:sz w:val="24"/>
          <w:szCs w:val="24"/>
        </w:rPr>
      </w:pPr>
    </w:p>
    <w:p w:rsidR="00C518F3" w:rsidRPr="00642041" w:rsidRDefault="00C518F3" w:rsidP="00642041">
      <w:pPr>
        <w:pStyle w:val="NoSpacing"/>
        <w:ind w:left="567" w:right="95" w:hanging="567"/>
        <w:jc w:val="both"/>
        <w:rPr>
          <w:rFonts w:asciiTheme="majorHAnsi" w:hAnsiTheme="majorHAnsi"/>
          <w:sz w:val="24"/>
          <w:szCs w:val="24"/>
        </w:rPr>
      </w:pPr>
      <w:r w:rsidRPr="00642041">
        <w:rPr>
          <w:rFonts w:asciiTheme="majorHAnsi" w:hAnsiTheme="majorHAnsi"/>
          <w:b/>
          <w:i/>
          <w:sz w:val="24"/>
          <w:szCs w:val="24"/>
        </w:rPr>
        <w:t>Entertainment</w:t>
      </w:r>
      <w:r w:rsidRPr="00642041">
        <w:rPr>
          <w:rFonts w:asciiTheme="majorHAnsi" w:hAnsiTheme="majorHAnsi"/>
          <w:i/>
          <w:sz w:val="24"/>
          <w:szCs w:val="24"/>
        </w:rPr>
        <w:t xml:space="preserve"> </w:t>
      </w:r>
      <w:r w:rsidRPr="00642041">
        <w:rPr>
          <w:rFonts w:asciiTheme="majorHAnsi" w:hAnsiTheme="majorHAnsi"/>
          <w:sz w:val="24"/>
          <w:szCs w:val="24"/>
        </w:rPr>
        <w:t>is specifically defined in tax legislation as entertainment by the way of:</w:t>
      </w:r>
    </w:p>
    <w:p w:rsidR="00C518F3" w:rsidRPr="00642041" w:rsidRDefault="00C518F3" w:rsidP="00642041">
      <w:pPr>
        <w:pStyle w:val="NoSpacing"/>
        <w:numPr>
          <w:ilvl w:val="0"/>
          <w:numId w:val="7"/>
        </w:numPr>
        <w:ind w:left="567" w:right="95" w:hanging="567"/>
        <w:jc w:val="both"/>
        <w:rPr>
          <w:rFonts w:asciiTheme="majorHAnsi" w:hAnsiTheme="majorHAnsi"/>
          <w:sz w:val="24"/>
          <w:szCs w:val="24"/>
        </w:rPr>
      </w:pPr>
      <w:r w:rsidRPr="00642041">
        <w:rPr>
          <w:rFonts w:asciiTheme="majorHAnsi" w:hAnsiTheme="majorHAnsi"/>
          <w:sz w:val="24"/>
          <w:szCs w:val="24"/>
        </w:rPr>
        <w:t>food</w:t>
      </w:r>
    </w:p>
    <w:p w:rsidR="00C518F3" w:rsidRPr="00642041" w:rsidRDefault="00C518F3" w:rsidP="00642041">
      <w:pPr>
        <w:pStyle w:val="NoSpacing"/>
        <w:numPr>
          <w:ilvl w:val="0"/>
          <w:numId w:val="7"/>
        </w:numPr>
        <w:ind w:left="567" w:right="95" w:hanging="567"/>
        <w:jc w:val="both"/>
        <w:rPr>
          <w:rFonts w:asciiTheme="majorHAnsi" w:hAnsiTheme="majorHAnsi"/>
          <w:sz w:val="24"/>
          <w:szCs w:val="24"/>
        </w:rPr>
      </w:pPr>
      <w:r w:rsidRPr="00642041">
        <w:rPr>
          <w:rFonts w:asciiTheme="majorHAnsi" w:hAnsiTheme="majorHAnsi"/>
          <w:sz w:val="24"/>
          <w:szCs w:val="24"/>
        </w:rPr>
        <w:t>drink</w:t>
      </w:r>
    </w:p>
    <w:p w:rsidR="00C518F3" w:rsidRPr="00642041" w:rsidRDefault="00C518F3" w:rsidP="00642041">
      <w:pPr>
        <w:pStyle w:val="NoSpacing"/>
        <w:numPr>
          <w:ilvl w:val="0"/>
          <w:numId w:val="7"/>
        </w:numPr>
        <w:ind w:left="567" w:right="95" w:hanging="567"/>
        <w:jc w:val="both"/>
        <w:rPr>
          <w:rFonts w:asciiTheme="majorHAnsi" w:hAnsiTheme="majorHAnsi"/>
          <w:sz w:val="24"/>
          <w:szCs w:val="24"/>
        </w:rPr>
      </w:pPr>
      <w:r w:rsidRPr="00642041">
        <w:rPr>
          <w:rFonts w:asciiTheme="majorHAnsi" w:hAnsiTheme="majorHAnsi"/>
          <w:sz w:val="24"/>
          <w:szCs w:val="24"/>
        </w:rPr>
        <w:t>recreation</w:t>
      </w:r>
    </w:p>
    <w:p w:rsidR="00C518F3" w:rsidRPr="00642041" w:rsidRDefault="00C518F3" w:rsidP="00642041">
      <w:pPr>
        <w:pStyle w:val="NoSpacing"/>
        <w:numPr>
          <w:ilvl w:val="0"/>
          <w:numId w:val="7"/>
        </w:numPr>
        <w:ind w:left="567" w:right="95" w:hanging="567"/>
        <w:jc w:val="both"/>
        <w:rPr>
          <w:rFonts w:asciiTheme="majorHAnsi" w:hAnsiTheme="majorHAnsi"/>
          <w:sz w:val="24"/>
          <w:szCs w:val="24"/>
        </w:rPr>
      </w:pPr>
      <w:r w:rsidRPr="00642041">
        <w:rPr>
          <w:rFonts w:asciiTheme="majorHAnsi" w:hAnsiTheme="majorHAnsi"/>
          <w:sz w:val="24"/>
          <w:szCs w:val="24"/>
        </w:rPr>
        <w:t>accommodation or travel associated with the provision of food, drink or recreation.</w:t>
      </w:r>
    </w:p>
    <w:p w:rsidR="00C518F3" w:rsidRDefault="00C518F3" w:rsidP="00642041">
      <w:pPr>
        <w:pStyle w:val="NoSpacing"/>
        <w:ind w:right="95"/>
        <w:jc w:val="both"/>
        <w:rPr>
          <w:rFonts w:asciiTheme="majorHAnsi" w:hAnsiTheme="majorHAnsi"/>
          <w:sz w:val="24"/>
          <w:szCs w:val="24"/>
        </w:rPr>
      </w:pPr>
      <w:r w:rsidRPr="00642041">
        <w:rPr>
          <w:rFonts w:asciiTheme="majorHAnsi" w:hAnsiTheme="majorHAnsi"/>
          <w:sz w:val="24"/>
          <w:szCs w:val="24"/>
        </w:rPr>
        <w:t>Therefore, all gifts that are of an entertainment nature and/or any other gifts of $300 or more in value, accepted by an individual from an employer, associate of an employer, or third party are subject to FBT.</w:t>
      </w:r>
    </w:p>
    <w:p w:rsidR="00642041" w:rsidRPr="00642041" w:rsidRDefault="00642041" w:rsidP="00642041">
      <w:pPr>
        <w:pStyle w:val="NoSpacing"/>
        <w:ind w:right="95"/>
        <w:jc w:val="both"/>
        <w:rPr>
          <w:rFonts w:asciiTheme="majorHAnsi" w:hAnsiTheme="majorHAnsi"/>
          <w:sz w:val="24"/>
          <w:szCs w:val="24"/>
        </w:rPr>
      </w:pPr>
    </w:p>
    <w:p w:rsidR="00FA5873" w:rsidRDefault="00FA5873" w:rsidP="00642041">
      <w:pPr>
        <w:pStyle w:val="NoSpacing"/>
        <w:ind w:right="95"/>
        <w:jc w:val="both"/>
        <w:rPr>
          <w:rFonts w:asciiTheme="majorHAnsi" w:hAnsiTheme="majorHAnsi"/>
          <w:sz w:val="24"/>
          <w:szCs w:val="24"/>
        </w:rPr>
      </w:pPr>
      <w:r w:rsidRPr="00642041">
        <w:rPr>
          <w:rFonts w:asciiTheme="majorHAnsi" w:hAnsiTheme="majorHAnsi"/>
          <w:b/>
          <w:i/>
          <w:sz w:val="24"/>
          <w:szCs w:val="24"/>
        </w:rPr>
        <w:t>Host</w:t>
      </w:r>
      <w:r w:rsidRPr="00642041">
        <w:rPr>
          <w:rFonts w:asciiTheme="majorHAnsi" w:hAnsiTheme="majorHAnsi"/>
          <w:b/>
          <w:sz w:val="24"/>
          <w:szCs w:val="24"/>
        </w:rPr>
        <w:t xml:space="preserve"> </w:t>
      </w:r>
      <w:r w:rsidRPr="00642041">
        <w:rPr>
          <w:rFonts w:asciiTheme="majorHAnsi" w:hAnsiTheme="majorHAnsi"/>
          <w:sz w:val="24"/>
          <w:szCs w:val="24"/>
        </w:rPr>
        <w:t xml:space="preserve">is the person, office holder or organisation which authorises, organises and pays for an event. Responsibilities of a </w:t>
      </w:r>
      <w:proofErr w:type="gramStart"/>
      <w:r w:rsidRPr="00642041">
        <w:rPr>
          <w:rFonts w:asciiTheme="majorHAnsi" w:hAnsiTheme="majorHAnsi"/>
          <w:sz w:val="24"/>
          <w:szCs w:val="24"/>
        </w:rPr>
        <w:t>public sector</w:t>
      </w:r>
      <w:proofErr w:type="gramEnd"/>
      <w:r w:rsidRPr="00642041">
        <w:rPr>
          <w:rFonts w:asciiTheme="majorHAnsi" w:hAnsiTheme="majorHAnsi"/>
          <w:sz w:val="24"/>
          <w:szCs w:val="24"/>
        </w:rPr>
        <w:t xml:space="preserve"> host include initiating the event and approving </w:t>
      </w:r>
      <w:r w:rsidRPr="00642041">
        <w:rPr>
          <w:rFonts w:asciiTheme="majorHAnsi" w:hAnsiTheme="majorHAnsi"/>
          <w:sz w:val="24"/>
          <w:szCs w:val="24"/>
        </w:rPr>
        <w:lastRenderedPageBreak/>
        <w:t>decisions, for example in relation to cost, selecting invitees, ensuring the event runs smoothly and meets its objectives, and facilitating relationships between invitees.</w:t>
      </w:r>
    </w:p>
    <w:p w:rsidR="00642041" w:rsidRPr="00642041" w:rsidRDefault="00642041" w:rsidP="00642041">
      <w:pPr>
        <w:pStyle w:val="NoSpacing"/>
        <w:ind w:right="95"/>
        <w:jc w:val="both"/>
        <w:rPr>
          <w:rFonts w:asciiTheme="majorHAnsi" w:hAnsiTheme="majorHAnsi"/>
          <w:sz w:val="24"/>
          <w:szCs w:val="24"/>
        </w:rPr>
      </w:pPr>
    </w:p>
    <w:p w:rsidR="00FA5873" w:rsidRDefault="00FA5873" w:rsidP="00642041">
      <w:pPr>
        <w:pStyle w:val="NoSpacing"/>
        <w:ind w:right="95"/>
        <w:jc w:val="both"/>
        <w:rPr>
          <w:rFonts w:asciiTheme="majorHAnsi" w:hAnsiTheme="majorHAnsi"/>
          <w:sz w:val="24"/>
          <w:szCs w:val="24"/>
        </w:rPr>
      </w:pPr>
      <w:r w:rsidRPr="00642041">
        <w:rPr>
          <w:rFonts w:asciiTheme="majorHAnsi" w:hAnsiTheme="majorHAnsi"/>
          <w:b/>
          <w:i/>
          <w:sz w:val="24"/>
          <w:szCs w:val="24"/>
        </w:rPr>
        <w:t>Register</w:t>
      </w:r>
      <w:r w:rsidRPr="00642041">
        <w:rPr>
          <w:rFonts w:asciiTheme="majorHAnsi" w:hAnsiTheme="majorHAnsi"/>
          <w:sz w:val="24"/>
          <w:szCs w:val="24"/>
        </w:rPr>
        <w:t xml:space="preserve"> is a record, preferably electronic, of all declarable gifts, benefits and hospitality. It records the date an offer was made and by whom, the nature of the offer, its estimated value, the raising of any actual, potential or perceived conflicts of interest or reputational risks and how the offer was managed. For accepted offers, it details the business reason for acceptance and the officer approving the acceptance. </w:t>
      </w:r>
    </w:p>
    <w:p w:rsidR="00642041" w:rsidRPr="00642041" w:rsidRDefault="00642041" w:rsidP="00642041">
      <w:pPr>
        <w:pStyle w:val="NoSpacing"/>
        <w:ind w:right="95"/>
        <w:jc w:val="both"/>
        <w:rPr>
          <w:rFonts w:asciiTheme="majorHAnsi" w:hAnsiTheme="majorHAnsi"/>
          <w:sz w:val="24"/>
          <w:szCs w:val="24"/>
        </w:rPr>
      </w:pPr>
    </w:p>
    <w:p w:rsidR="00FA5873" w:rsidRDefault="00FA5873" w:rsidP="00642041">
      <w:pPr>
        <w:pStyle w:val="NoSpacing"/>
        <w:ind w:right="95"/>
        <w:jc w:val="both"/>
        <w:rPr>
          <w:rFonts w:asciiTheme="majorHAnsi" w:hAnsiTheme="majorHAnsi"/>
          <w:sz w:val="24"/>
          <w:szCs w:val="24"/>
        </w:rPr>
      </w:pPr>
      <w:r w:rsidRPr="00642041">
        <w:rPr>
          <w:rFonts w:asciiTheme="majorHAnsi" w:hAnsiTheme="majorHAnsi"/>
          <w:b/>
          <w:i/>
          <w:sz w:val="24"/>
          <w:szCs w:val="24"/>
        </w:rPr>
        <w:t>Legitimate business benefit</w:t>
      </w:r>
      <w:r w:rsidRPr="00642041">
        <w:rPr>
          <w:rFonts w:asciiTheme="majorHAnsi" w:hAnsiTheme="majorHAnsi"/>
          <w:b/>
          <w:sz w:val="24"/>
          <w:szCs w:val="24"/>
        </w:rPr>
        <w:t xml:space="preserve"> </w:t>
      </w:r>
      <w:r w:rsidRPr="00642041">
        <w:rPr>
          <w:rFonts w:asciiTheme="majorHAnsi" w:hAnsiTheme="majorHAnsi"/>
          <w:sz w:val="24"/>
          <w:szCs w:val="24"/>
        </w:rPr>
        <w:t>gifts, benefits and hospitality accepted or provided for a business purpose, in that it furthers the conduct of official business or other legitimate goals of the organisation, public sector or State.</w:t>
      </w:r>
    </w:p>
    <w:p w:rsidR="00642041" w:rsidRPr="00642041" w:rsidRDefault="00642041" w:rsidP="00642041">
      <w:pPr>
        <w:pStyle w:val="NoSpacing"/>
        <w:ind w:right="95"/>
        <w:jc w:val="both"/>
        <w:rPr>
          <w:rFonts w:asciiTheme="majorHAnsi" w:hAnsiTheme="majorHAnsi"/>
          <w:b/>
          <w:sz w:val="24"/>
          <w:szCs w:val="24"/>
        </w:rPr>
      </w:pPr>
    </w:p>
    <w:p w:rsidR="00FA5873" w:rsidRDefault="00FA5873" w:rsidP="00642041">
      <w:pPr>
        <w:pStyle w:val="NoSpacing"/>
        <w:ind w:right="95"/>
        <w:jc w:val="both"/>
        <w:rPr>
          <w:rFonts w:asciiTheme="majorHAnsi" w:hAnsiTheme="majorHAnsi"/>
          <w:sz w:val="24"/>
          <w:szCs w:val="24"/>
        </w:rPr>
      </w:pPr>
      <w:r w:rsidRPr="00642041">
        <w:rPr>
          <w:rFonts w:asciiTheme="majorHAnsi" w:hAnsiTheme="majorHAnsi"/>
          <w:b/>
          <w:i/>
          <w:sz w:val="24"/>
          <w:szCs w:val="24"/>
        </w:rPr>
        <w:t>A Token Offer</w:t>
      </w:r>
      <w:r w:rsidRPr="00642041">
        <w:rPr>
          <w:rFonts w:asciiTheme="majorHAnsi" w:hAnsiTheme="majorHAnsi"/>
          <w:sz w:val="24"/>
          <w:szCs w:val="24"/>
        </w:rPr>
        <w:t xml:space="preserve"> is an offer of a gift, benefit or hospitality that is offered as a courtesy or is of inconsequential or trivial value to both the person making the offer and the individual. The primary determinant of a Token offer is that it would not be reasonably perceived within or outside the organisation as influencing an individual or raising an actual, potential or perceived conflict of interest. </w:t>
      </w:r>
      <w:r w:rsidRPr="00642041">
        <w:rPr>
          <w:rFonts w:asciiTheme="majorHAnsi" w:hAnsiTheme="majorHAnsi"/>
          <w:b/>
          <w:sz w:val="24"/>
          <w:szCs w:val="24"/>
        </w:rPr>
        <w:t xml:space="preserve">A Token Offer </w:t>
      </w:r>
      <w:r w:rsidRPr="00642041">
        <w:rPr>
          <w:rFonts w:asciiTheme="majorHAnsi" w:hAnsiTheme="majorHAnsi"/>
          <w:sz w:val="24"/>
          <w:szCs w:val="24"/>
        </w:rPr>
        <w:t>is an offer of a gift, benefit or hospitality that is less than $50</w:t>
      </w:r>
      <w:r w:rsidRPr="00642041">
        <w:rPr>
          <w:rFonts w:asciiTheme="majorHAnsi" w:hAnsiTheme="majorHAnsi"/>
          <w:sz w:val="24"/>
          <w:szCs w:val="24"/>
          <w:vertAlign w:val="superscript"/>
        </w:rPr>
        <w:t>1</w:t>
      </w:r>
      <w:r w:rsidRPr="00642041">
        <w:rPr>
          <w:rFonts w:asciiTheme="majorHAnsi" w:hAnsiTheme="majorHAnsi"/>
          <w:sz w:val="24"/>
          <w:szCs w:val="24"/>
        </w:rPr>
        <w:t xml:space="preserve">. </w:t>
      </w:r>
    </w:p>
    <w:p w:rsidR="00642041" w:rsidRPr="00642041" w:rsidRDefault="00642041" w:rsidP="00642041">
      <w:pPr>
        <w:pStyle w:val="NoSpacing"/>
        <w:ind w:right="95"/>
        <w:jc w:val="both"/>
        <w:rPr>
          <w:rFonts w:asciiTheme="majorHAnsi" w:hAnsiTheme="majorHAnsi"/>
          <w:sz w:val="24"/>
          <w:szCs w:val="24"/>
        </w:rPr>
      </w:pPr>
    </w:p>
    <w:p w:rsidR="00FA5873" w:rsidRPr="00642041" w:rsidRDefault="00FA5873" w:rsidP="00642041">
      <w:pPr>
        <w:pStyle w:val="NoSpacing"/>
        <w:ind w:left="567" w:right="95" w:hanging="567"/>
        <w:jc w:val="both"/>
        <w:rPr>
          <w:rFonts w:asciiTheme="majorHAnsi" w:hAnsiTheme="majorHAnsi"/>
          <w:sz w:val="24"/>
          <w:szCs w:val="24"/>
        </w:rPr>
      </w:pPr>
      <w:r w:rsidRPr="00642041">
        <w:rPr>
          <w:rFonts w:asciiTheme="majorHAnsi" w:hAnsiTheme="majorHAnsi"/>
          <w:b/>
          <w:sz w:val="24"/>
          <w:szCs w:val="24"/>
        </w:rPr>
        <w:t>Non-Token Offer</w:t>
      </w:r>
      <w:r w:rsidRPr="00642041">
        <w:rPr>
          <w:rFonts w:asciiTheme="majorHAnsi" w:hAnsiTheme="majorHAnsi"/>
          <w:sz w:val="24"/>
          <w:szCs w:val="24"/>
        </w:rPr>
        <w:t xml:space="preserve"> is an offer of a gift, benefit or hospitality that is $50 or more</w:t>
      </w:r>
      <w:r w:rsidRPr="00642041">
        <w:rPr>
          <w:rFonts w:asciiTheme="majorHAnsi" w:hAnsiTheme="majorHAnsi"/>
          <w:sz w:val="24"/>
          <w:szCs w:val="24"/>
          <w:vertAlign w:val="superscript"/>
        </w:rPr>
        <w:t>1</w:t>
      </w:r>
      <w:r w:rsidRPr="00642041">
        <w:rPr>
          <w:rFonts w:asciiTheme="majorHAnsi" w:hAnsiTheme="majorHAnsi"/>
          <w:sz w:val="24"/>
          <w:szCs w:val="24"/>
        </w:rPr>
        <w:t xml:space="preserve">.  </w:t>
      </w:r>
    </w:p>
    <w:p w:rsidR="00FA5873" w:rsidRPr="00642041" w:rsidRDefault="00FA5873" w:rsidP="00642041">
      <w:pPr>
        <w:pStyle w:val="NoSpacing"/>
        <w:ind w:left="567" w:right="95" w:hanging="567"/>
        <w:jc w:val="both"/>
        <w:rPr>
          <w:rFonts w:asciiTheme="majorHAnsi" w:hAnsiTheme="majorHAnsi"/>
          <w:color w:val="000000"/>
          <w:sz w:val="24"/>
          <w:szCs w:val="24"/>
          <w:lang w:eastAsia="en-AU"/>
        </w:rPr>
      </w:pPr>
    </w:p>
    <w:p w:rsidR="00FA5873" w:rsidRPr="00642041" w:rsidRDefault="00FA5873" w:rsidP="00642041">
      <w:pPr>
        <w:pStyle w:val="NoSpacing"/>
        <w:ind w:left="567" w:right="95" w:hanging="567"/>
        <w:jc w:val="both"/>
        <w:rPr>
          <w:rFonts w:asciiTheme="majorHAnsi" w:hAnsiTheme="majorHAnsi"/>
          <w:sz w:val="24"/>
          <w:szCs w:val="24"/>
        </w:rPr>
      </w:pPr>
      <w:r w:rsidRPr="00642041">
        <w:rPr>
          <w:rFonts w:asciiTheme="majorHAnsi" w:hAnsiTheme="majorHAnsi"/>
          <w:color w:val="000000"/>
          <w:sz w:val="24"/>
          <w:szCs w:val="24"/>
          <w:vertAlign w:val="superscript"/>
          <w:lang w:eastAsia="en-AU"/>
        </w:rPr>
        <w:t xml:space="preserve">1 </w:t>
      </w:r>
      <w:r w:rsidRPr="00642041">
        <w:rPr>
          <w:rFonts w:asciiTheme="majorHAnsi" w:hAnsiTheme="majorHAnsi"/>
          <w:color w:val="000000"/>
          <w:sz w:val="24"/>
          <w:szCs w:val="24"/>
          <w:lang w:eastAsia="en-AU"/>
        </w:rPr>
        <w:t>Except</w:t>
      </w:r>
      <w:r w:rsidRPr="00642041">
        <w:rPr>
          <w:rFonts w:asciiTheme="majorHAnsi" w:hAnsiTheme="majorHAnsi"/>
          <w:sz w:val="24"/>
          <w:szCs w:val="24"/>
        </w:rPr>
        <w:t xml:space="preserve"> where a person employed under the </w:t>
      </w:r>
      <w:r w:rsidRPr="00642041">
        <w:rPr>
          <w:rFonts w:asciiTheme="majorHAnsi" w:hAnsiTheme="majorHAnsi"/>
          <w:i/>
          <w:sz w:val="24"/>
          <w:szCs w:val="24"/>
        </w:rPr>
        <w:t>Education and Training Reform Act 2006</w:t>
      </w:r>
      <w:r w:rsidRPr="00642041">
        <w:rPr>
          <w:rFonts w:asciiTheme="majorHAnsi" w:hAnsiTheme="majorHAnsi"/>
          <w:sz w:val="24"/>
          <w:szCs w:val="24"/>
        </w:rPr>
        <w:t xml:space="preserve"> in a Victorian Government school receives an offer from or on behalf of a parent, guardian, carer or student intended to express appreciation of the person’s contribution to the education of a student or students, in which case non-token includes any offer worth more than $100.  </w:t>
      </w:r>
    </w:p>
    <w:p w:rsidR="00642041" w:rsidRDefault="00642041" w:rsidP="00642041">
      <w:pPr>
        <w:pStyle w:val="NoSpacing"/>
        <w:ind w:left="567" w:right="95" w:hanging="567"/>
        <w:jc w:val="both"/>
        <w:rPr>
          <w:rFonts w:asciiTheme="majorHAnsi" w:hAnsiTheme="majorHAnsi"/>
          <w:b/>
          <w:i/>
          <w:sz w:val="24"/>
          <w:szCs w:val="24"/>
        </w:rPr>
      </w:pPr>
    </w:p>
    <w:p w:rsidR="00FA5873" w:rsidRPr="00642041" w:rsidRDefault="00FA5873" w:rsidP="00642041">
      <w:pPr>
        <w:pStyle w:val="NoSpacing"/>
        <w:ind w:left="567" w:right="95" w:hanging="567"/>
        <w:jc w:val="both"/>
        <w:rPr>
          <w:rFonts w:asciiTheme="majorHAnsi" w:hAnsiTheme="majorHAnsi"/>
          <w:b/>
          <w:i/>
          <w:sz w:val="24"/>
          <w:szCs w:val="24"/>
        </w:rPr>
      </w:pPr>
      <w:r w:rsidRPr="00642041">
        <w:rPr>
          <w:rFonts w:asciiTheme="majorHAnsi" w:hAnsiTheme="majorHAnsi"/>
          <w:b/>
          <w:i/>
          <w:sz w:val="24"/>
          <w:szCs w:val="24"/>
        </w:rPr>
        <w:t xml:space="preserve">Conflicts of Interest </w:t>
      </w:r>
    </w:p>
    <w:p w:rsidR="00FA5873" w:rsidRDefault="00FA5873" w:rsidP="00642041">
      <w:pPr>
        <w:pStyle w:val="NoSpacing"/>
        <w:ind w:right="95"/>
        <w:jc w:val="both"/>
        <w:rPr>
          <w:rFonts w:asciiTheme="majorHAnsi" w:hAnsiTheme="majorHAnsi"/>
          <w:sz w:val="24"/>
          <w:szCs w:val="24"/>
        </w:rPr>
      </w:pPr>
      <w:r w:rsidRPr="00642041">
        <w:rPr>
          <w:rFonts w:asciiTheme="majorHAnsi" w:hAnsiTheme="majorHAnsi"/>
          <w:sz w:val="24"/>
          <w:szCs w:val="24"/>
          <w:u w:val="single"/>
        </w:rPr>
        <w:t>Actual conflict of interest</w:t>
      </w:r>
      <w:r w:rsidRPr="00642041">
        <w:rPr>
          <w:rFonts w:asciiTheme="majorHAnsi" w:hAnsiTheme="majorHAnsi"/>
          <w:sz w:val="24"/>
          <w:szCs w:val="24"/>
        </w:rPr>
        <w:t xml:space="preserve"> - there is a </w:t>
      </w:r>
      <w:r w:rsidRPr="00642041">
        <w:rPr>
          <w:rFonts w:asciiTheme="majorHAnsi" w:hAnsiTheme="majorHAnsi"/>
          <w:sz w:val="24"/>
          <w:szCs w:val="24"/>
          <w:u w:val="single"/>
        </w:rPr>
        <w:t>real conflict</w:t>
      </w:r>
      <w:r w:rsidRPr="00642041">
        <w:rPr>
          <w:rFonts w:asciiTheme="majorHAnsi" w:hAnsiTheme="majorHAnsi"/>
          <w:sz w:val="24"/>
          <w:szCs w:val="24"/>
        </w:rPr>
        <w:t xml:space="preserve"> between an employee’s public duties and private interests.</w:t>
      </w:r>
    </w:p>
    <w:p w:rsidR="00642041" w:rsidRPr="00642041" w:rsidRDefault="00642041" w:rsidP="00642041">
      <w:pPr>
        <w:pStyle w:val="NoSpacing"/>
        <w:ind w:right="95"/>
        <w:jc w:val="both"/>
        <w:rPr>
          <w:rFonts w:asciiTheme="majorHAnsi" w:hAnsiTheme="majorHAnsi"/>
          <w:sz w:val="24"/>
          <w:szCs w:val="24"/>
        </w:rPr>
      </w:pPr>
    </w:p>
    <w:p w:rsidR="00FA5873" w:rsidRDefault="00FA5873" w:rsidP="00642041">
      <w:pPr>
        <w:pStyle w:val="NoSpacing"/>
        <w:ind w:right="95"/>
        <w:jc w:val="both"/>
        <w:rPr>
          <w:rFonts w:asciiTheme="majorHAnsi" w:hAnsiTheme="majorHAnsi"/>
          <w:sz w:val="24"/>
          <w:szCs w:val="24"/>
        </w:rPr>
      </w:pPr>
      <w:r w:rsidRPr="00642041">
        <w:rPr>
          <w:rFonts w:asciiTheme="majorHAnsi" w:hAnsiTheme="majorHAnsi"/>
          <w:sz w:val="24"/>
          <w:szCs w:val="24"/>
          <w:u w:val="single"/>
        </w:rPr>
        <w:t>Potential conflict of interest</w:t>
      </w:r>
      <w:r w:rsidRPr="00642041">
        <w:rPr>
          <w:rFonts w:asciiTheme="majorHAnsi" w:hAnsiTheme="majorHAnsi"/>
          <w:sz w:val="24"/>
          <w:szCs w:val="24"/>
        </w:rPr>
        <w:t xml:space="preserve"> - an employee has private interests that </w:t>
      </w:r>
      <w:r w:rsidRPr="00642041">
        <w:rPr>
          <w:rFonts w:asciiTheme="majorHAnsi" w:hAnsiTheme="majorHAnsi"/>
          <w:sz w:val="24"/>
          <w:szCs w:val="24"/>
          <w:u w:val="single"/>
        </w:rPr>
        <w:t>could conflict</w:t>
      </w:r>
      <w:r w:rsidRPr="00642041">
        <w:rPr>
          <w:rFonts w:asciiTheme="majorHAnsi" w:hAnsiTheme="majorHAnsi"/>
          <w:sz w:val="24"/>
          <w:szCs w:val="24"/>
        </w:rPr>
        <w:t xml:space="preserve"> with their public duties. This refers to circumstances where it is foreseeable that a conflict may arise in future and steps should be taken now to mitigate that future risk.</w:t>
      </w:r>
    </w:p>
    <w:p w:rsidR="00642041" w:rsidRPr="00642041" w:rsidRDefault="00642041" w:rsidP="00642041">
      <w:pPr>
        <w:pStyle w:val="NoSpacing"/>
        <w:ind w:right="95"/>
        <w:jc w:val="both"/>
        <w:rPr>
          <w:rFonts w:asciiTheme="majorHAnsi" w:hAnsiTheme="majorHAnsi"/>
          <w:sz w:val="24"/>
          <w:szCs w:val="24"/>
        </w:rPr>
      </w:pPr>
    </w:p>
    <w:p w:rsidR="00FA5873" w:rsidRPr="00642041" w:rsidRDefault="00FA5873" w:rsidP="00642041">
      <w:pPr>
        <w:pStyle w:val="NoSpacing"/>
        <w:ind w:right="95"/>
        <w:jc w:val="both"/>
        <w:rPr>
          <w:rFonts w:asciiTheme="majorHAnsi" w:hAnsiTheme="majorHAnsi"/>
          <w:sz w:val="24"/>
          <w:szCs w:val="24"/>
        </w:rPr>
      </w:pPr>
      <w:r w:rsidRPr="00642041">
        <w:rPr>
          <w:rFonts w:asciiTheme="majorHAnsi" w:hAnsiTheme="majorHAnsi"/>
          <w:sz w:val="24"/>
          <w:szCs w:val="24"/>
          <w:u w:val="single"/>
        </w:rPr>
        <w:t>Perceived conflict of interest</w:t>
      </w:r>
      <w:r w:rsidRPr="00642041">
        <w:rPr>
          <w:rFonts w:asciiTheme="majorHAnsi" w:hAnsiTheme="majorHAnsi"/>
          <w:sz w:val="24"/>
          <w:szCs w:val="24"/>
        </w:rPr>
        <w:t xml:space="preserve"> - the public or a third party could </w:t>
      </w:r>
      <w:r w:rsidRPr="00642041">
        <w:rPr>
          <w:rFonts w:asciiTheme="majorHAnsi" w:hAnsiTheme="majorHAnsi"/>
          <w:sz w:val="24"/>
          <w:szCs w:val="24"/>
          <w:u w:val="single"/>
        </w:rPr>
        <w:t>form the view</w:t>
      </w:r>
      <w:r w:rsidRPr="00642041">
        <w:rPr>
          <w:rFonts w:asciiTheme="majorHAnsi" w:hAnsiTheme="majorHAnsi"/>
          <w:sz w:val="24"/>
          <w:szCs w:val="24"/>
        </w:rPr>
        <w:t xml:space="preserve"> that an employee’s private interests could improperly influence their decisions or actions, now or in the future.</w:t>
      </w:r>
    </w:p>
    <w:p w:rsidR="00C518F3" w:rsidRPr="00642041" w:rsidRDefault="00C518F3" w:rsidP="00642041">
      <w:pPr>
        <w:pStyle w:val="NoSpacing"/>
        <w:ind w:left="567" w:right="95" w:hanging="567"/>
        <w:jc w:val="both"/>
        <w:rPr>
          <w:rStyle w:val="SubtleReference"/>
        </w:rPr>
      </w:pPr>
    </w:p>
    <w:p w:rsidR="00C518F3" w:rsidRPr="00642041" w:rsidRDefault="00C518F3" w:rsidP="00642041">
      <w:pPr>
        <w:pStyle w:val="NoSpacing"/>
        <w:ind w:left="567" w:right="95" w:hanging="567"/>
        <w:jc w:val="both"/>
        <w:rPr>
          <w:rStyle w:val="SubtleReference"/>
        </w:rPr>
      </w:pPr>
      <w:r w:rsidRPr="00642041">
        <w:rPr>
          <w:rStyle w:val="SubtleReference"/>
        </w:rPr>
        <w:t>Implementation</w:t>
      </w:r>
    </w:p>
    <w:p w:rsidR="00C518F3" w:rsidRPr="00642041" w:rsidRDefault="00C518F3" w:rsidP="00642041">
      <w:pPr>
        <w:pStyle w:val="NoSpacing"/>
        <w:numPr>
          <w:ilvl w:val="0"/>
          <w:numId w:val="8"/>
        </w:numPr>
        <w:ind w:left="567" w:right="95" w:hanging="567"/>
        <w:jc w:val="both"/>
        <w:rPr>
          <w:rFonts w:asciiTheme="majorHAnsi" w:hAnsiTheme="majorHAnsi"/>
          <w:sz w:val="24"/>
          <w:szCs w:val="24"/>
        </w:rPr>
      </w:pPr>
      <w:r w:rsidRPr="00642041">
        <w:rPr>
          <w:rFonts w:asciiTheme="majorHAnsi" w:hAnsiTheme="majorHAnsi"/>
          <w:sz w:val="24"/>
          <w:szCs w:val="24"/>
        </w:rPr>
        <w:t xml:space="preserve">DET policy applies to all employees (including Teaching Service), all </w:t>
      </w:r>
      <w:r w:rsidR="00BE2928" w:rsidRPr="00642041">
        <w:rPr>
          <w:rFonts w:asciiTheme="majorHAnsi" w:hAnsiTheme="majorHAnsi"/>
          <w:sz w:val="24"/>
          <w:szCs w:val="24"/>
        </w:rPr>
        <w:t>College</w:t>
      </w:r>
      <w:r w:rsidRPr="00642041">
        <w:rPr>
          <w:rFonts w:asciiTheme="majorHAnsi" w:hAnsiTheme="majorHAnsi"/>
          <w:sz w:val="24"/>
          <w:szCs w:val="24"/>
        </w:rPr>
        <w:t xml:space="preserve"> Council employees and all Councillors. </w:t>
      </w:r>
    </w:p>
    <w:p w:rsidR="00C518F3" w:rsidRPr="00642041" w:rsidRDefault="00C518F3" w:rsidP="00642041">
      <w:pPr>
        <w:pStyle w:val="NoSpacing"/>
        <w:numPr>
          <w:ilvl w:val="0"/>
          <w:numId w:val="8"/>
        </w:numPr>
        <w:ind w:left="567" w:right="95" w:hanging="567"/>
        <w:jc w:val="both"/>
        <w:rPr>
          <w:rFonts w:asciiTheme="majorHAnsi" w:hAnsiTheme="majorHAnsi"/>
          <w:sz w:val="24"/>
          <w:szCs w:val="24"/>
        </w:rPr>
      </w:pPr>
      <w:r w:rsidRPr="00642041">
        <w:rPr>
          <w:rFonts w:asciiTheme="majorHAnsi" w:hAnsiTheme="majorHAnsi"/>
          <w:sz w:val="24"/>
          <w:szCs w:val="24"/>
        </w:rPr>
        <w:lastRenderedPageBreak/>
        <w:t xml:space="preserve">The </w:t>
      </w:r>
      <w:r w:rsidRPr="00642041">
        <w:rPr>
          <w:rFonts w:asciiTheme="majorHAnsi" w:hAnsiTheme="majorHAnsi"/>
          <w:b/>
          <w:bCs/>
          <w:sz w:val="24"/>
          <w:szCs w:val="24"/>
        </w:rPr>
        <w:t>minimum requirements for individuals</w:t>
      </w:r>
      <w:r w:rsidRPr="00642041">
        <w:rPr>
          <w:rFonts w:asciiTheme="majorHAnsi" w:hAnsiTheme="majorHAnsi"/>
          <w:bCs/>
          <w:sz w:val="24"/>
          <w:szCs w:val="24"/>
        </w:rPr>
        <w:t xml:space="preserve"> </w:t>
      </w:r>
      <w:r w:rsidRPr="00642041">
        <w:rPr>
          <w:rFonts w:asciiTheme="majorHAnsi" w:hAnsiTheme="majorHAnsi"/>
          <w:sz w:val="24"/>
          <w:szCs w:val="24"/>
        </w:rPr>
        <w:t xml:space="preserve">for </w:t>
      </w:r>
      <w:r w:rsidRPr="00642041">
        <w:rPr>
          <w:rFonts w:asciiTheme="majorHAnsi" w:hAnsiTheme="majorHAnsi"/>
          <w:sz w:val="24"/>
          <w:szCs w:val="24"/>
          <w:u w:val="single"/>
        </w:rPr>
        <w:t>accepting</w:t>
      </w:r>
      <w:r w:rsidRPr="00642041">
        <w:rPr>
          <w:rFonts w:asciiTheme="majorHAnsi" w:hAnsiTheme="majorHAnsi"/>
          <w:sz w:val="24"/>
          <w:szCs w:val="24"/>
        </w:rPr>
        <w:t xml:space="preserve"> gifts, benefits and hospitality are that they: </w:t>
      </w:r>
    </w:p>
    <w:p w:rsidR="00C518F3" w:rsidRPr="00642041" w:rsidRDefault="00C518F3" w:rsidP="00642041">
      <w:pPr>
        <w:pStyle w:val="NoSpacing"/>
        <w:numPr>
          <w:ilvl w:val="0"/>
          <w:numId w:val="9"/>
        </w:numPr>
        <w:ind w:left="1134" w:right="95" w:hanging="567"/>
        <w:jc w:val="both"/>
        <w:rPr>
          <w:rFonts w:asciiTheme="majorHAnsi" w:hAnsiTheme="majorHAnsi"/>
          <w:sz w:val="24"/>
          <w:szCs w:val="24"/>
        </w:rPr>
      </w:pPr>
      <w:r w:rsidRPr="00642041">
        <w:rPr>
          <w:rFonts w:asciiTheme="majorHAnsi" w:hAnsiTheme="majorHAnsi"/>
          <w:sz w:val="24"/>
          <w:szCs w:val="24"/>
        </w:rPr>
        <w:t xml:space="preserve">do not solicit gifts, benefits or hospitality </w:t>
      </w:r>
    </w:p>
    <w:p w:rsidR="00C518F3" w:rsidRPr="00642041" w:rsidRDefault="00C518F3" w:rsidP="00642041">
      <w:pPr>
        <w:pStyle w:val="NoSpacing"/>
        <w:numPr>
          <w:ilvl w:val="0"/>
          <w:numId w:val="9"/>
        </w:numPr>
        <w:ind w:left="1134" w:right="95" w:hanging="567"/>
        <w:jc w:val="both"/>
        <w:rPr>
          <w:rFonts w:asciiTheme="majorHAnsi" w:hAnsiTheme="majorHAnsi"/>
          <w:sz w:val="24"/>
          <w:szCs w:val="24"/>
        </w:rPr>
      </w:pPr>
      <w:r w:rsidRPr="00642041">
        <w:rPr>
          <w:rFonts w:asciiTheme="majorHAnsi" w:hAnsiTheme="majorHAnsi"/>
          <w:sz w:val="24"/>
          <w:szCs w:val="24"/>
        </w:rPr>
        <w:t xml:space="preserve">refuse all offers of gifts, benefits or hospitality that could be reasonably perceived as undermining the integrity and impartiality of their organisation or themselves </w:t>
      </w:r>
    </w:p>
    <w:p w:rsidR="00C518F3" w:rsidRPr="00642041" w:rsidRDefault="00C518F3" w:rsidP="00642041">
      <w:pPr>
        <w:pStyle w:val="NoSpacing"/>
        <w:numPr>
          <w:ilvl w:val="0"/>
          <w:numId w:val="9"/>
        </w:numPr>
        <w:ind w:left="1134" w:right="95" w:hanging="567"/>
        <w:jc w:val="both"/>
        <w:rPr>
          <w:rFonts w:asciiTheme="majorHAnsi" w:hAnsiTheme="majorHAnsi"/>
          <w:sz w:val="24"/>
          <w:szCs w:val="24"/>
        </w:rPr>
      </w:pPr>
      <w:r w:rsidRPr="00642041">
        <w:rPr>
          <w:rFonts w:asciiTheme="majorHAnsi" w:hAnsiTheme="majorHAnsi"/>
          <w:sz w:val="24"/>
          <w:szCs w:val="24"/>
        </w:rPr>
        <w:t xml:space="preserve">refuse all offers of gifts, benefits or hospitality from people or organisations about which they are likely to make decisions, i.e. tender processes, procurement, licensing or regulation, etc. </w:t>
      </w:r>
    </w:p>
    <w:p w:rsidR="00C518F3" w:rsidRPr="00642041" w:rsidRDefault="00C518F3" w:rsidP="00642041">
      <w:pPr>
        <w:pStyle w:val="NoSpacing"/>
        <w:numPr>
          <w:ilvl w:val="0"/>
          <w:numId w:val="9"/>
        </w:numPr>
        <w:ind w:left="1134" w:right="95" w:hanging="567"/>
        <w:jc w:val="both"/>
        <w:rPr>
          <w:rFonts w:asciiTheme="majorHAnsi" w:hAnsiTheme="majorHAnsi"/>
          <w:sz w:val="24"/>
          <w:szCs w:val="24"/>
        </w:rPr>
      </w:pPr>
      <w:r w:rsidRPr="00642041">
        <w:rPr>
          <w:rFonts w:asciiTheme="majorHAnsi" w:hAnsiTheme="majorHAnsi"/>
          <w:sz w:val="24"/>
          <w:szCs w:val="24"/>
        </w:rPr>
        <w:t xml:space="preserve">refuse all offers of money or items easily converted to money, such as shares; and </w:t>
      </w:r>
    </w:p>
    <w:p w:rsidR="00C518F3" w:rsidRPr="00642041" w:rsidRDefault="00C518F3" w:rsidP="00642041">
      <w:pPr>
        <w:pStyle w:val="NoSpacing"/>
        <w:numPr>
          <w:ilvl w:val="0"/>
          <w:numId w:val="9"/>
        </w:numPr>
        <w:ind w:left="1134" w:right="95" w:hanging="567"/>
        <w:jc w:val="both"/>
        <w:rPr>
          <w:rFonts w:asciiTheme="majorHAnsi" w:hAnsiTheme="majorHAnsi"/>
          <w:sz w:val="24"/>
          <w:szCs w:val="24"/>
        </w:rPr>
      </w:pPr>
      <w:r w:rsidRPr="00642041">
        <w:rPr>
          <w:rFonts w:asciiTheme="majorHAnsi" w:hAnsiTheme="majorHAnsi"/>
          <w:sz w:val="24"/>
          <w:szCs w:val="24"/>
        </w:rPr>
        <w:t xml:space="preserve">refuse bribes and report bribery attempts to their manager/Principal </w:t>
      </w:r>
    </w:p>
    <w:p w:rsidR="00C518F3" w:rsidRPr="00642041" w:rsidRDefault="00C518F3" w:rsidP="00642041">
      <w:pPr>
        <w:pStyle w:val="NoSpacing"/>
        <w:numPr>
          <w:ilvl w:val="0"/>
          <w:numId w:val="9"/>
        </w:numPr>
        <w:ind w:left="1134" w:right="95" w:hanging="567"/>
        <w:jc w:val="both"/>
        <w:rPr>
          <w:rFonts w:asciiTheme="majorHAnsi" w:hAnsiTheme="majorHAnsi"/>
          <w:sz w:val="24"/>
          <w:szCs w:val="24"/>
        </w:rPr>
      </w:pPr>
      <w:r w:rsidRPr="00642041">
        <w:rPr>
          <w:rFonts w:asciiTheme="majorHAnsi" w:hAnsiTheme="majorHAnsi"/>
          <w:sz w:val="24"/>
          <w:szCs w:val="24"/>
        </w:rPr>
        <w:t xml:space="preserve">seek advice from their manager/Principal or other appropriate delegate if unsure about how to respond to an offer of a gift, benefit or hospitality of more than nominal value. </w:t>
      </w:r>
    </w:p>
    <w:p w:rsidR="00C518F3" w:rsidRPr="00642041" w:rsidRDefault="00C518F3" w:rsidP="00642041">
      <w:pPr>
        <w:pStyle w:val="NoSpacing"/>
        <w:numPr>
          <w:ilvl w:val="0"/>
          <w:numId w:val="10"/>
        </w:numPr>
        <w:ind w:left="567" w:right="95" w:hanging="567"/>
        <w:jc w:val="both"/>
        <w:rPr>
          <w:rFonts w:asciiTheme="majorHAnsi" w:hAnsiTheme="majorHAnsi"/>
          <w:sz w:val="24"/>
          <w:szCs w:val="24"/>
        </w:rPr>
      </w:pPr>
      <w:r w:rsidRPr="00642041">
        <w:rPr>
          <w:rFonts w:asciiTheme="majorHAnsi" w:hAnsiTheme="majorHAnsi"/>
          <w:sz w:val="24"/>
          <w:szCs w:val="24"/>
        </w:rPr>
        <w:t xml:space="preserve">The </w:t>
      </w:r>
      <w:r w:rsidRPr="00642041">
        <w:rPr>
          <w:rFonts w:asciiTheme="majorHAnsi" w:hAnsiTheme="majorHAnsi"/>
          <w:b/>
          <w:bCs/>
          <w:sz w:val="24"/>
          <w:szCs w:val="24"/>
        </w:rPr>
        <w:t>minimum requirements for individuals</w:t>
      </w:r>
      <w:r w:rsidRPr="00642041">
        <w:rPr>
          <w:rFonts w:asciiTheme="majorHAnsi" w:hAnsiTheme="majorHAnsi"/>
          <w:bCs/>
          <w:sz w:val="24"/>
          <w:szCs w:val="24"/>
        </w:rPr>
        <w:t xml:space="preserve"> </w:t>
      </w:r>
      <w:r w:rsidRPr="00642041">
        <w:rPr>
          <w:rFonts w:asciiTheme="majorHAnsi" w:hAnsiTheme="majorHAnsi"/>
          <w:sz w:val="24"/>
          <w:szCs w:val="24"/>
        </w:rPr>
        <w:t xml:space="preserve">when </w:t>
      </w:r>
      <w:r w:rsidRPr="00642041">
        <w:rPr>
          <w:rFonts w:asciiTheme="majorHAnsi" w:hAnsiTheme="majorHAnsi"/>
          <w:sz w:val="24"/>
          <w:szCs w:val="24"/>
          <w:u w:val="single"/>
        </w:rPr>
        <w:t>providing</w:t>
      </w:r>
      <w:r w:rsidRPr="00642041">
        <w:rPr>
          <w:rFonts w:asciiTheme="majorHAnsi" w:hAnsiTheme="majorHAnsi"/>
          <w:sz w:val="24"/>
          <w:szCs w:val="24"/>
        </w:rPr>
        <w:t xml:space="preserve"> gifts, benefits or hospitality are that they: </w:t>
      </w:r>
    </w:p>
    <w:p w:rsidR="00C518F3" w:rsidRPr="00642041" w:rsidRDefault="00C518F3" w:rsidP="00642041">
      <w:pPr>
        <w:pStyle w:val="NoSpacing"/>
        <w:numPr>
          <w:ilvl w:val="0"/>
          <w:numId w:val="11"/>
        </w:numPr>
        <w:ind w:left="1134" w:right="95" w:hanging="567"/>
        <w:jc w:val="both"/>
        <w:rPr>
          <w:rFonts w:asciiTheme="majorHAnsi" w:hAnsiTheme="majorHAnsi"/>
          <w:sz w:val="24"/>
          <w:szCs w:val="24"/>
        </w:rPr>
      </w:pPr>
      <w:r w:rsidRPr="00642041">
        <w:rPr>
          <w:rFonts w:asciiTheme="majorHAnsi" w:hAnsiTheme="majorHAnsi"/>
          <w:sz w:val="24"/>
          <w:szCs w:val="24"/>
        </w:rPr>
        <w:t xml:space="preserve">ensure that any gift or hospitality is provided for a business purpose in that it furthers the conduct of official business or other legitimate organisational goals, or promotes and supports government policy objectives and priorities; </w:t>
      </w:r>
    </w:p>
    <w:p w:rsidR="00C518F3" w:rsidRPr="00642041" w:rsidRDefault="00C518F3" w:rsidP="00642041">
      <w:pPr>
        <w:pStyle w:val="NoSpacing"/>
        <w:numPr>
          <w:ilvl w:val="0"/>
          <w:numId w:val="11"/>
        </w:numPr>
        <w:ind w:left="1134" w:right="95" w:hanging="567"/>
        <w:jc w:val="both"/>
        <w:rPr>
          <w:rFonts w:asciiTheme="majorHAnsi" w:hAnsiTheme="majorHAnsi"/>
          <w:sz w:val="24"/>
          <w:szCs w:val="24"/>
        </w:rPr>
      </w:pPr>
      <w:r w:rsidRPr="00642041">
        <w:rPr>
          <w:rFonts w:asciiTheme="majorHAnsi" w:hAnsiTheme="majorHAnsi"/>
          <w:sz w:val="24"/>
          <w:szCs w:val="24"/>
        </w:rPr>
        <w:t xml:space="preserve">ensure that any costs are proportionate to the benefits obtained for the State, and would be considered reasonable in terms of community expectations; and </w:t>
      </w:r>
    </w:p>
    <w:p w:rsidR="00C518F3" w:rsidRPr="00642041" w:rsidRDefault="00C518F3" w:rsidP="00642041">
      <w:pPr>
        <w:pStyle w:val="NoSpacing"/>
        <w:numPr>
          <w:ilvl w:val="0"/>
          <w:numId w:val="11"/>
        </w:numPr>
        <w:ind w:left="1134" w:right="95" w:hanging="567"/>
        <w:jc w:val="both"/>
        <w:rPr>
          <w:rFonts w:asciiTheme="majorHAnsi" w:hAnsiTheme="majorHAnsi"/>
          <w:sz w:val="24"/>
          <w:szCs w:val="24"/>
        </w:rPr>
      </w:pPr>
      <w:r w:rsidRPr="00642041">
        <w:rPr>
          <w:rFonts w:asciiTheme="majorHAnsi" w:hAnsiTheme="majorHAnsi"/>
          <w:sz w:val="24"/>
          <w:szCs w:val="24"/>
        </w:rPr>
        <w:t xml:space="preserve">ensure that when hospitality is provided, individuals demonstrate professionalism in their conduct and uphold their obligation to extend a duty of care to other participants. </w:t>
      </w:r>
    </w:p>
    <w:p w:rsidR="00B5278D" w:rsidRPr="00642041" w:rsidRDefault="00B5278D" w:rsidP="00642041">
      <w:pPr>
        <w:pStyle w:val="NoSpacing"/>
        <w:numPr>
          <w:ilvl w:val="0"/>
          <w:numId w:val="12"/>
        </w:numPr>
        <w:ind w:left="567" w:right="95" w:hanging="567"/>
        <w:jc w:val="both"/>
        <w:rPr>
          <w:rFonts w:asciiTheme="majorHAnsi" w:hAnsiTheme="majorHAnsi"/>
          <w:sz w:val="24"/>
          <w:szCs w:val="24"/>
        </w:rPr>
      </w:pPr>
      <w:r w:rsidRPr="00642041">
        <w:rPr>
          <w:rFonts w:asciiTheme="majorHAnsi" w:hAnsiTheme="majorHAnsi"/>
          <w:sz w:val="24"/>
          <w:szCs w:val="24"/>
        </w:rPr>
        <w:t xml:space="preserve">The </w:t>
      </w:r>
      <w:r w:rsidRPr="00642041">
        <w:rPr>
          <w:rFonts w:asciiTheme="majorHAnsi" w:hAnsiTheme="majorHAnsi"/>
          <w:b/>
          <w:sz w:val="24"/>
          <w:szCs w:val="24"/>
        </w:rPr>
        <w:t>minimum accountabilities for Principals/Assistant Principals</w:t>
      </w:r>
      <w:r w:rsidRPr="00642041">
        <w:rPr>
          <w:rFonts w:asciiTheme="majorHAnsi" w:hAnsiTheme="majorHAnsi"/>
          <w:sz w:val="24"/>
          <w:szCs w:val="24"/>
        </w:rPr>
        <w:t xml:space="preserve"> are that they:</w:t>
      </w:r>
    </w:p>
    <w:p w:rsidR="00B5278D" w:rsidRPr="00642041" w:rsidRDefault="00B5278D" w:rsidP="00642041">
      <w:pPr>
        <w:numPr>
          <w:ilvl w:val="0"/>
          <w:numId w:val="22"/>
        </w:numPr>
        <w:spacing w:after="0" w:line="245" w:lineRule="atLeast"/>
        <w:ind w:left="1134" w:right="95" w:hanging="567"/>
        <w:jc w:val="both"/>
        <w:rPr>
          <w:rFonts w:asciiTheme="majorHAnsi" w:hAnsiTheme="majorHAnsi"/>
          <w:sz w:val="24"/>
          <w:szCs w:val="24"/>
        </w:rPr>
      </w:pPr>
      <w:r w:rsidRPr="00642041">
        <w:rPr>
          <w:rFonts w:asciiTheme="majorHAnsi" w:hAnsiTheme="majorHAnsi"/>
          <w:sz w:val="24"/>
          <w:szCs w:val="24"/>
        </w:rPr>
        <w:t>establish and regularly review policies and processes to respond to offers of gifts, benefits and hospitality, including multiple offers from the same source;</w:t>
      </w:r>
    </w:p>
    <w:p w:rsidR="00B5278D" w:rsidRPr="00642041" w:rsidRDefault="00B5278D" w:rsidP="00642041">
      <w:pPr>
        <w:numPr>
          <w:ilvl w:val="0"/>
          <w:numId w:val="22"/>
        </w:numPr>
        <w:spacing w:after="0" w:line="245" w:lineRule="atLeast"/>
        <w:ind w:left="1134" w:right="95" w:hanging="567"/>
        <w:jc w:val="both"/>
        <w:rPr>
          <w:rFonts w:asciiTheme="majorHAnsi" w:hAnsiTheme="majorHAnsi"/>
          <w:sz w:val="24"/>
          <w:szCs w:val="24"/>
        </w:rPr>
      </w:pPr>
      <w:r w:rsidRPr="00642041">
        <w:rPr>
          <w:rFonts w:asciiTheme="majorHAnsi" w:hAnsiTheme="majorHAnsi"/>
          <w:sz w:val="24"/>
          <w:szCs w:val="24"/>
        </w:rPr>
        <w:t xml:space="preserve">establish and regularly review policies and processes to provide guidance on the provision of gifts or hospitality, both internally to staff and externally to business partners and other stakeholders; </w:t>
      </w:r>
    </w:p>
    <w:p w:rsidR="00B5278D" w:rsidRPr="00642041" w:rsidRDefault="00B5278D" w:rsidP="00642041">
      <w:pPr>
        <w:numPr>
          <w:ilvl w:val="0"/>
          <w:numId w:val="22"/>
        </w:numPr>
        <w:spacing w:after="0" w:line="245" w:lineRule="atLeast"/>
        <w:ind w:left="1134" w:right="95" w:hanging="567"/>
        <w:jc w:val="both"/>
        <w:rPr>
          <w:rFonts w:asciiTheme="majorHAnsi" w:hAnsiTheme="majorHAnsi"/>
          <w:sz w:val="24"/>
          <w:szCs w:val="24"/>
        </w:rPr>
      </w:pPr>
      <w:r w:rsidRPr="00642041">
        <w:rPr>
          <w:rFonts w:asciiTheme="majorHAnsi" w:hAnsiTheme="majorHAnsi"/>
          <w:sz w:val="24"/>
          <w:szCs w:val="24"/>
        </w:rPr>
        <w:t>promulgate and establish awareness and compliance with gifts, benefits, and hospitality policies with all employees and school councillors;</w:t>
      </w:r>
    </w:p>
    <w:p w:rsidR="00B5278D" w:rsidRPr="00642041" w:rsidRDefault="00B5278D" w:rsidP="00642041">
      <w:pPr>
        <w:numPr>
          <w:ilvl w:val="0"/>
          <w:numId w:val="22"/>
        </w:numPr>
        <w:spacing w:after="0" w:line="245" w:lineRule="atLeast"/>
        <w:ind w:left="1134" w:right="95" w:hanging="567"/>
        <w:jc w:val="both"/>
        <w:rPr>
          <w:rFonts w:asciiTheme="majorHAnsi" w:hAnsiTheme="majorHAnsi"/>
          <w:sz w:val="24"/>
          <w:szCs w:val="24"/>
        </w:rPr>
      </w:pPr>
      <w:r w:rsidRPr="00642041">
        <w:rPr>
          <w:rFonts w:asciiTheme="majorHAnsi" w:hAnsiTheme="majorHAnsi"/>
          <w:sz w:val="24"/>
          <w:szCs w:val="24"/>
        </w:rPr>
        <w:t>reinforce to all employees and school councillors that a breach of gifts, benefits and hospitality procedures could constitute a breach of binding codes of conduct and result in possible disciplinary action;</w:t>
      </w:r>
    </w:p>
    <w:p w:rsidR="00B5278D" w:rsidRPr="00642041" w:rsidRDefault="00B5278D" w:rsidP="00642041">
      <w:pPr>
        <w:numPr>
          <w:ilvl w:val="0"/>
          <w:numId w:val="22"/>
        </w:numPr>
        <w:spacing w:after="0" w:line="245" w:lineRule="atLeast"/>
        <w:ind w:left="1134" w:right="95" w:hanging="567"/>
        <w:jc w:val="both"/>
        <w:rPr>
          <w:rFonts w:asciiTheme="majorHAnsi" w:hAnsiTheme="majorHAnsi"/>
          <w:sz w:val="24"/>
          <w:szCs w:val="24"/>
        </w:rPr>
      </w:pPr>
      <w:r w:rsidRPr="00642041">
        <w:rPr>
          <w:rFonts w:asciiTheme="majorHAnsi" w:hAnsiTheme="majorHAnsi"/>
          <w:sz w:val="24"/>
          <w:szCs w:val="24"/>
        </w:rPr>
        <w:t xml:space="preserve">ensure records are kept of accepted gifts, benefits and hospitality of more than nominal value and that such records are subject to regular scrutiny, including review by the Department’s Audit Committee; </w:t>
      </w:r>
    </w:p>
    <w:p w:rsidR="00FA5873" w:rsidRPr="00642041" w:rsidRDefault="00B5278D" w:rsidP="00642041">
      <w:pPr>
        <w:numPr>
          <w:ilvl w:val="0"/>
          <w:numId w:val="22"/>
        </w:numPr>
        <w:spacing w:after="0" w:line="245" w:lineRule="atLeast"/>
        <w:ind w:left="1134" w:right="95" w:hanging="567"/>
        <w:jc w:val="both"/>
        <w:rPr>
          <w:rFonts w:asciiTheme="majorHAnsi" w:hAnsiTheme="majorHAnsi"/>
          <w:sz w:val="24"/>
          <w:szCs w:val="24"/>
        </w:rPr>
      </w:pPr>
      <w:r w:rsidRPr="00642041">
        <w:rPr>
          <w:rFonts w:asciiTheme="majorHAnsi" w:hAnsiTheme="majorHAnsi"/>
          <w:sz w:val="24"/>
          <w:szCs w:val="24"/>
        </w:rPr>
        <w:t xml:space="preserve">ensure that hospitality expenditure is recorded and reported in accordance with whole of government </w:t>
      </w:r>
      <w:proofErr w:type="gramStart"/>
      <w:r w:rsidRPr="00642041">
        <w:rPr>
          <w:rFonts w:asciiTheme="majorHAnsi" w:hAnsiTheme="majorHAnsi"/>
          <w:sz w:val="24"/>
          <w:szCs w:val="24"/>
        </w:rPr>
        <w:t>financial management</w:t>
      </w:r>
      <w:proofErr w:type="gramEnd"/>
      <w:r w:rsidRPr="00642041">
        <w:rPr>
          <w:rFonts w:asciiTheme="majorHAnsi" w:hAnsiTheme="majorHAnsi"/>
          <w:sz w:val="24"/>
          <w:szCs w:val="24"/>
        </w:rPr>
        <w:t>, accountability and reporting requirements</w:t>
      </w:r>
      <w:r w:rsidR="00FA5873" w:rsidRPr="00642041">
        <w:rPr>
          <w:rFonts w:asciiTheme="majorHAnsi" w:hAnsiTheme="majorHAnsi"/>
          <w:sz w:val="24"/>
          <w:szCs w:val="24"/>
        </w:rPr>
        <w:t>;</w:t>
      </w:r>
    </w:p>
    <w:p w:rsidR="00FA5873" w:rsidRPr="00642041" w:rsidRDefault="00FA5873" w:rsidP="00642041">
      <w:pPr>
        <w:numPr>
          <w:ilvl w:val="0"/>
          <w:numId w:val="22"/>
        </w:numPr>
        <w:spacing w:after="0" w:line="245" w:lineRule="atLeast"/>
        <w:ind w:left="1134" w:right="95" w:hanging="567"/>
        <w:jc w:val="both"/>
        <w:rPr>
          <w:rFonts w:asciiTheme="majorHAnsi" w:hAnsiTheme="majorHAnsi"/>
          <w:sz w:val="24"/>
          <w:szCs w:val="24"/>
        </w:rPr>
      </w:pPr>
      <w:r w:rsidRPr="00642041">
        <w:rPr>
          <w:rFonts w:asciiTheme="majorHAnsi" w:hAnsiTheme="majorHAnsi"/>
          <w:sz w:val="24"/>
          <w:szCs w:val="24"/>
        </w:rPr>
        <w:t xml:space="preserve">publish the Gift Register on the school’s website. </w:t>
      </w:r>
    </w:p>
    <w:p w:rsidR="00C518F3" w:rsidRPr="00642041" w:rsidRDefault="00C518F3" w:rsidP="00642041">
      <w:pPr>
        <w:pStyle w:val="NoSpacing"/>
        <w:numPr>
          <w:ilvl w:val="0"/>
          <w:numId w:val="12"/>
        </w:numPr>
        <w:ind w:left="567" w:right="95" w:hanging="567"/>
        <w:jc w:val="both"/>
        <w:rPr>
          <w:rFonts w:asciiTheme="majorHAnsi" w:hAnsiTheme="majorHAnsi"/>
          <w:sz w:val="24"/>
          <w:szCs w:val="24"/>
        </w:rPr>
      </w:pPr>
      <w:r w:rsidRPr="00642041">
        <w:rPr>
          <w:rFonts w:asciiTheme="majorHAnsi" w:hAnsiTheme="majorHAnsi"/>
          <w:sz w:val="24"/>
          <w:szCs w:val="24"/>
        </w:rPr>
        <w:t>Catered staff functions or working meals may occasionally be provided.</w:t>
      </w:r>
    </w:p>
    <w:p w:rsidR="00C518F3" w:rsidRPr="00642041" w:rsidRDefault="00C518F3" w:rsidP="00642041">
      <w:pPr>
        <w:pStyle w:val="NoSpacing"/>
        <w:numPr>
          <w:ilvl w:val="0"/>
          <w:numId w:val="12"/>
        </w:numPr>
        <w:ind w:left="567" w:right="95" w:hanging="567"/>
        <w:jc w:val="both"/>
        <w:rPr>
          <w:rFonts w:asciiTheme="majorHAnsi" w:hAnsiTheme="majorHAnsi" w:cs="Arial"/>
          <w:color w:val="000000"/>
          <w:sz w:val="24"/>
          <w:szCs w:val="24"/>
          <w:lang w:val="en-US"/>
        </w:rPr>
      </w:pPr>
      <w:r w:rsidRPr="00642041">
        <w:rPr>
          <w:rFonts w:asciiTheme="majorHAnsi" w:hAnsiTheme="majorHAnsi"/>
          <w:sz w:val="24"/>
          <w:szCs w:val="24"/>
        </w:rPr>
        <w:lastRenderedPageBreak/>
        <w:t>Gifts to recognise a significant staff achievement is acceptable as is the giving of a token (flowers or card) to family members who have experienced a bereavement.</w:t>
      </w:r>
    </w:p>
    <w:p w:rsidR="00C518F3" w:rsidRPr="00642041" w:rsidRDefault="00C518F3" w:rsidP="00642041">
      <w:pPr>
        <w:pStyle w:val="NoSpacing"/>
        <w:numPr>
          <w:ilvl w:val="0"/>
          <w:numId w:val="12"/>
        </w:numPr>
        <w:ind w:left="567" w:right="95" w:hanging="567"/>
        <w:jc w:val="both"/>
        <w:rPr>
          <w:rFonts w:asciiTheme="majorHAnsi" w:hAnsiTheme="majorHAnsi" w:cs="Arial"/>
          <w:color w:val="000000"/>
          <w:sz w:val="24"/>
          <w:szCs w:val="24"/>
          <w:lang w:val="en-US"/>
        </w:rPr>
      </w:pPr>
      <w:r w:rsidRPr="00642041">
        <w:rPr>
          <w:rFonts w:asciiTheme="majorHAnsi" w:hAnsiTheme="majorHAnsi"/>
          <w:sz w:val="24"/>
          <w:szCs w:val="24"/>
        </w:rPr>
        <w:t>Birthdays, marriages or birth of children must never be celebrated using public money.</w:t>
      </w:r>
    </w:p>
    <w:p w:rsidR="00C518F3" w:rsidRPr="00642041" w:rsidRDefault="00C518F3" w:rsidP="00642041">
      <w:pPr>
        <w:pStyle w:val="NoSpacing"/>
        <w:numPr>
          <w:ilvl w:val="0"/>
          <w:numId w:val="12"/>
        </w:numPr>
        <w:ind w:left="567" w:right="95" w:hanging="567"/>
        <w:jc w:val="both"/>
        <w:rPr>
          <w:rFonts w:asciiTheme="majorHAnsi" w:hAnsiTheme="majorHAnsi" w:cs="Arial"/>
          <w:color w:val="000000"/>
          <w:sz w:val="24"/>
          <w:szCs w:val="24"/>
          <w:lang w:val="en-US"/>
        </w:rPr>
      </w:pPr>
      <w:r w:rsidRPr="00642041">
        <w:rPr>
          <w:rFonts w:asciiTheme="majorHAnsi" w:hAnsiTheme="majorHAnsi" w:cs="Arial"/>
          <w:color w:val="000000"/>
          <w:sz w:val="24"/>
          <w:szCs w:val="24"/>
          <w:lang w:val="en-US"/>
        </w:rPr>
        <w:t>The Principal will establish a process for ensuring that all staff and School Council members are advised of the policy requirements.</w:t>
      </w:r>
    </w:p>
    <w:p w:rsidR="00C518F3" w:rsidRPr="00642041" w:rsidRDefault="00C518F3" w:rsidP="00642041">
      <w:pPr>
        <w:pStyle w:val="NoSpacing"/>
        <w:numPr>
          <w:ilvl w:val="0"/>
          <w:numId w:val="12"/>
        </w:numPr>
        <w:ind w:left="567" w:right="95" w:hanging="567"/>
        <w:jc w:val="both"/>
        <w:rPr>
          <w:rFonts w:asciiTheme="majorHAnsi" w:hAnsiTheme="majorHAnsi" w:cs="Arial"/>
          <w:color w:val="000000"/>
          <w:sz w:val="24"/>
          <w:szCs w:val="24"/>
          <w:lang w:val="en-US"/>
        </w:rPr>
      </w:pPr>
      <w:r w:rsidRPr="00642041">
        <w:rPr>
          <w:rFonts w:asciiTheme="majorHAnsi" w:hAnsiTheme="majorHAnsi" w:cs="Arial"/>
          <w:color w:val="000000"/>
          <w:sz w:val="24"/>
          <w:szCs w:val="24"/>
          <w:lang w:val="en-US"/>
        </w:rPr>
        <w:t>The Gift Declaration Form, downloadable from the website below, must be completed by the recipient of a reportable gift within 14 days of the offer.</w:t>
      </w:r>
    </w:p>
    <w:p w:rsidR="00C518F3" w:rsidRPr="00642041" w:rsidRDefault="00C518F3" w:rsidP="00642041">
      <w:pPr>
        <w:pStyle w:val="NoSpacing"/>
        <w:numPr>
          <w:ilvl w:val="0"/>
          <w:numId w:val="12"/>
        </w:numPr>
        <w:ind w:left="567" w:right="95" w:hanging="567"/>
        <w:jc w:val="both"/>
        <w:rPr>
          <w:rFonts w:asciiTheme="majorHAnsi" w:hAnsiTheme="majorHAnsi" w:cs="Arial"/>
          <w:color w:val="000000"/>
          <w:sz w:val="24"/>
          <w:szCs w:val="24"/>
          <w:lang w:val="en-US"/>
        </w:rPr>
      </w:pPr>
      <w:r w:rsidRPr="00642041">
        <w:rPr>
          <w:rFonts w:asciiTheme="majorHAnsi" w:hAnsiTheme="majorHAnsi" w:cs="Arial"/>
          <w:color w:val="000000"/>
          <w:sz w:val="24"/>
          <w:szCs w:val="24"/>
          <w:lang w:val="en-US"/>
        </w:rPr>
        <w:t xml:space="preserve">The Principal will establish a Gift Register to keep records of accepted gifts, benefits and hospitality of more than nominal value and will monitor gift register records and ensure they are reviewed annually by the </w:t>
      </w:r>
      <w:r w:rsidR="00BE2928" w:rsidRPr="00642041">
        <w:rPr>
          <w:rFonts w:asciiTheme="majorHAnsi" w:hAnsiTheme="majorHAnsi" w:cs="Arial"/>
          <w:color w:val="000000"/>
          <w:sz w:val="24"/>
          <w:szCs w:val="24"/>
          <w:lang w:val="en-US"/>
        </w:rPr>
        <w:t xml:space="preserve">College </w:t>
      </w:r>
      <w:r w:rsidRPr="00642041">
        <w:rPr>
          <w:rFonts w:asciiTheme="majorHAnsi" w:hAnsiTheme="majorHAnsi" w:cs="Arial"/>
          <w:color w:val="000000"/>
          <w:sz w:val="24"/>
          <w:szCs w:val="24"/>
          <w:lang w:val="en-US"/>
        </w:rPr>
        <w:t>Council.</w:t>
      </w:r>
    </w:p>
    <w:p w:rsidR="00C518F3" w:rsidRPr="00642041" w:rsidRDefault="00C518F3" w:rsidP="00642041">
      <w:pPr>
        <w:pStyle w:val="NoSpacing"/>
        <w:numPr>
          <w:ilvl w:val="0"/>
          <w:numId w:val="12"/>
        </w:numPr>
        <w:ind w:left="567" w:right="95" w:hanging="567"/>
        <w:jc w:val="both"/>
        <w:rPr>
          <w:rFonts w:asciiTheme="majorHAnsi" w:hAnsiTheme="majorHAnsi"/>
          <w:sz w:val="24"/>
          <w:szCs w:val="24"/>
        </w:rPr>
      </w:pPr>
      <w:r w:rsidRPr="00642041">
        <w:rPr>
          <w:rFonts w:asciiTheme="majorHAnsi" w:hAnsiTheme="majorHAnsi"/>
          <w:sz w:val="24"/>
          <w:szCs w:val="24"/>
        </w:rPr>
        <w:t xml:space="preserve">Employees or </w:t>
      </w:r>
      <w:r w:rsidR="00BE2928" w:rsidRPr="00642041">
        <w:rPr>
          <w:rFonts w:asciiTheme="majorHAnsi" w:hAnsiTheme="majorHAnsi"/>
          <w:sz w:val="24"/>
          <w:szCs w:val="24"/>
        </w:rPr>
        <w:t>College</w:t>
      </w:r>
      <w:r w:rsidRPr="00642041">
        <w:rPr>
          <w:rFonts w:asciiTheme="majorHAnsi" w:hAnsiTheme="majorHAnsi"/>
          <w:sz w:val="24"/>
          <w:szCs w:val="24"/>
        </w:rPr>
        <w:t xml:space="preserve"> Councillors may accept and keep token gifts (under $100) from students, parents and overseas visitors provided there is no conflict of interest and the value is proportional to the occasion.</w:t>
      </w:r>
    </w:p>
    <w:p w:rsidR="00C518F3" w:rsidRPr="00642041" w:rsidRDefault="00C518F3" w:rsidP="00642041">
      <w:pPr>
        <w:pStyle w:val="NoSpacing"/>
        <w:numPr>
          <w:ilvl w:val="0"/>
          <w:numId w:val="12"/>
        </w:numPr>
        <w:ind w:left="567" w:right="95" w:hanging="567"/>
        <w:jc w:val="both"/>
        <w:rPr>
          <w:rFonts w:asciiTheme="majorHAnsi" w:hAnsiTheme="majorHAnsi"/>
          <w:sz w:val="24"/>
          <w:szCs w:val="24"/>
        </w:rPr>
      </w:pPr>
      <w:r w:rsidRPr="00642041">
        <w:rPr>
          <w:rFonts w:asciiTheme="majorHAnsi" w:hAnsiTheme="majorHAnsi"/>
          <w:sz w:val="24"/>
          <w:szCs w:val="24"/>
        </w:rPr>
        <w:t xml:space="preserve">In limited circumstances gifts over $100 but below $500 may be kept subject of the written approval of the </w:t>
      </w:r>
      <w:r w:rsidR="00BE2928" w:rsidRPr="00642041">
        <w:rPr>
          <w:rFonts w:asciiTheme="majorHAnsi" w:hAnsiTheme="majorHAnsi"/>
          <w:sz w:val="24"/>
          <w:szCs w:val="24"/>
        </w:rPr>
        <w:t>College</w:t>
      </w:r>
      <w:r w:rsidRPr="00642041">
        <w:rPr>
          <w:rFonts w:asciiTheme="majorHAnsi" w:hAnsiTheme="majorHAnsi"/>
          <w:sz w:val="24"/>
          <w:szCs w:val="24"/>
        </w:rPr>
        <w:t xml:space="preserve"> Council.</w:t>
      </w:r>
    </w:p>
    <w:p w:rsidR="00C518F3" w:rsidRPr="00642041" w:rsidRDefault="00C518F3" w:rsidP="00642041">
      <w:pPr>
        <w:pStyle w:val="NoSpacing"/>
        <w:numPr>
          <w:ilvl w:val="0"/>
          <w:numId w:val="12"/>
        </w:numPr>
        <w:ind w:left="567" w:right="95" w:hanging="567"/>
        <w:jc w:val="both"/>
        <w:rPr>
          <w:rFonts w:asciiTheme="majorHAnsi" w:hAnsiTheme="majorHAnsi"/>
          <w:sz w:val="24"/>
          <w:szCs w:val="24"/>
        </w:rPr>
      </w:pPr>
      <w:r w:rsidRPr="00642041">
        <w:rPr>
          <w:rFonts w:asciiTheme="majorHAnsi" w:hAnsiTheme="majorHAnsi"/>
          <w:sz w:val="24"/>
          <w:szCs w:val="24"/>
        </w:rPr>
        <w:t>Gifts worth $500 or more must be surrendered to the school in all circumstances.</w:t>
      </w:r>
    </w:p>
    <w:p w:rsidR="00C518F3" w:rsidRPr="00642041" w:rsidRDefault="00C518F3" w:rsidP="00642041">
      <w:pPr>
        <w:pStyle w:val="NoSpacing"/>
        <w:numPr>
          <w:ilvl w:val="0"/>
          <w:numId w:val="12"/>
        </w:numPr>
        <w:ind w:left="567" w:right="95" w:hanging="567"/>
        <w:jc w:val="both"/>
        <w:rPr>
          <w:rFonts w:asciiTheme="majorHAnsi" w:hAnsiTheme="majorHAnsi"/>
          <w:sz w:val="24"/>
          <w:szCs w:val="24"/>
        </w:rPr>
      </w:pPr>
      <w:proofErr w:type="gramStart"/>
      <w:r w:rsidRPr="00642041">
        <w:rPr>
          <w:rFonts w:asciiTheme="majorHAnsi" w:hAnsiTheme="majorHAnsi"/>
          <w:sz w:val="24"/>
          <w:szCs w:val="24"/>
        </w:rPr>
        <w:t>However</w:t>
      </w:r>
      <w:proofErr w:type="gramEnd"/>
      <w:r w:rsidRPr="00642041">
        <w:rPr>
          <w:rFonts w:asciiTheme="majorHAnsi" w:hAnsiTheme="majorHAnsi"/>
          <w:sz w:val="24"/>
          <w:szCs w:val="24"/>
        </w:rPr>
        <w:t xml:space="preserve"> care must be exercised if the donor is involved in a tender process, contractual arrangement with DET or the </w:t>
      </w:r>
      <w:r w:rsidR="00BE2928" w:rsidRPr="00642041">
        <w:rPr>
          <w:rFonts w:asciiTheme="majorHAnsi" w:hAnsiTheme="majorHAnsi"/>
          <w:sz w:val="24"/>
          <w:szCs w:val="24"/>
        </w:rPr>
        <w:t>College</w:t>
      </w:r>
      <w:r w:rsidRPr="00642041">
        <w:rPr>
          <w:rFonts w:asciiTheme="majorHAnsi" w:hAnsiTheme="majorHAnsi"/>
          <w:sz w:val="24"/>
          <w:szCs w:val="24"/>
        </w:rPr>
        <w:t xml:space="preserve"> Council or if gifts of any kind have been offered more than once in the last year.</w:t>
      </w:r>
    </w:p>
    <w:p w:rsidR="00C518F3" w:rsidRPr="00642041" w:rsidRDefault="00C518F3" w:rsidP="00642041">
      <w:pPr>
        <w:pStyle w:val="NoSpacing"/>
        <w:numPr>
          <w:ilvl w:val="0"/>
          <w:numId w:val="12"/>
        </w:numPr>
        <w:ind w:left="567" w:right="95" w:hanging="567"/>
        <w:jc w:val="both"/>
        <w:rPr>
          <w:rFonts w:asciiTheme="majorHAnsi" w:hAnsiTheme="majorHAnsi"/>
          <w:sz w:val="24"/>
          <w:szCs w:val="24"/>
        </w:rPr>
      </w:pPr>
      <w:r w:rsidRPr="00642041">
        <w:rPr>
          <w:rFonts w:asciiTheme="majorHAnsi" w:hAnsiTheme="majorHAnsi"/>
          <w:sz w:val="24"/>
          <w:szCs w:val="24"/>
        </w:rPr>
        <w:t>If an individual considers that they have been offered bribe or inducement, the matter should be reported to the School Principal immediately.</w:t>
      </w:r>
    </w:p>
    <w:p w:rsidR="00C518F3" w:rsidRPr="00642041" w:rsidRDefault="00C518F3" w:rsidP="00642041">
      <w:pPr>
        <w:pStyle w:val="NoSpacing"/>
        <w:numPr>
          <w:ilvl w:val="0"/>
          <w:numId w:val="12"/>
        </w:numPr>
        <w:ind w:left="567" w:right="95" w:hanging="567"/>
        <w:jc w:val="both"/>
        <w:rPr>
          <w:rFonts w:asciiTheme="majorHAnsi" w:hAnsiTheme="majorHAnsi"/>
          <w:sz w:val="24"/>
          <w:szCs w:val="24"/>
        </w:rPr>
      </w:pPr>
      <w:r w:rsidRPr="00642041">
        <w:rPr>
          <w:rFonts w:asciiTheme="majorHAnsi" w:hAnsiTheme="majorHAnsi"/>
          <w:sz w:val="24"/>
          <w:szCs w:val="24"/>
        </w:rPr>
        <w:t xml:space="preserve">A gift must never be accepted if there might be a perception that it would create an obligation to the recipient, is likely to influence an employee or the </w:t>
      </w:r>
      <w:r w:rsidR="001D7997" w:rsidRPr="00642041">
        <w:rPr>
          <w:rFonts w:asciiTheme="majorHAnsi" w:hAnsiTheme="majorHAnsi"/>
          <w:sz w:val="24"/>
          <w:szCs w:val="24"/>
        </w:rPr>
        <w:t>College</w:t>
      </w:r>
      <w:r w:rsidRPr="00642041">
        <w:rPr>
          <w:rFonts w:asciiTheme="majorHAnsi" w:hAnsiTheme="majorHAnsi"/>
          <w:sz w:val="24"/>
          <w:szCs w:val="24"/>
        </w:rPr>
        <w:t xml:space="preserve"> Councillor </w:t>
      </w:r>
      <w:proofErr w:type="gramStart"/>
      <w:r w:rsidRPr="00642041">
        <w:rPr>
          <w:rFonts w:asciiTheme="majorHAnsi" w:hAnsiTheme="majorHAnsi"/>
          <w:sz w:val="24"/>
          <w:szCs w:val="24"/>
        </w:rPr>
        <w:t>in the course of</w:t>
      </w:r>
      <w:proofErr w:type="gramEnd"/>
      <w:r w:rsidRPr="00642041">
        <w:rPr>
          <w:rFonts w:asciiTheme="majorHAnsi" w:hAnsiTheme="majorHAnsi"/>
          <w:sz w:val="24"/>
          <w:szCs w:val="24"/>
        </w:rPr>
        <w:t xml:space="preserve"> their duties or if the gift is money.</w:t>
      </w:r>
    </w:p>
    <w:p w:rsidR="00B5278D" w:rsidRPr="00642041" w:rsidRDefault="00B5278D" w:rsidP="00642041">
      <w:pPr>
        <w:pStyle w:val="NoSpacing"/>
        <w:numPr>
          <w:ilvl w:val="0"/>
          <w:numId w:val="12"/>
        </w:numPr>
        <w:ind w:left="567" w:right="95" w:hanging="567"/>
        <w:jc w:val="both"/>
        <w:rPr>
          <w:rFonts w:asciiTheme="majorHAnsi" w:hAnsiTheme="majorHAnsi"/>
          <w:sz w:val="24"/>
          <w:szCs w:val="24"/>
        </w:rPr>
      </w:pPr>
      <w:r w:rsidRPr="00642041">
        <w:rPr>
          <w:rFonts w:asciiTheme="majorHAnsi" w:hAnsiTheme="majorHAnsi"/>
          <w:sz w:val="24"/>
          <w:szCs w:val="24"/>
        </w:rPr>
        <w:t>For further information please refer to the Gifts, Benefits &amp; Hospitality Policy below.</w:t>
      </w:r>
    </w:p>
    <w:p w:rsidR="00FA5873" w:rsidRPr="00642041" w:rsidRDefault="00FA5873" w:rsidP="00642041">
      <w:pPr>
        <w:numPr>
          <w:ilvl w:val="0"/>
          <w:numId w:val="26"/>
        </w:numPr>
        <w:spacing w:after="0" w:line="240" w:lineRule="auto"/>
        <w:ind w:left="567" w:right="95" w:hanging="567"/>
        <w:jc w:val="both"/>
        <w:rPr>
          <w:rFonts w:asciiTheme="majorHAnsi" w:hAnsiTheme="majorHAnsi"/>
          <w:sz w:val="24"/>
          <w:szCs w:val="24"/>
        </w:rPr>
      </w:pPr>
      <w:r w:rsidRPr="00642041">
        <w:rPr>
          <w:rFonts w:asciiTheme="majorHAnsi" w:hAnsiTheme="majorHAnsi"/>
          <w:sz w:val="24"/>
          <w:szCs w:val="24"/>
        </w:rPr>
        <w:t>Gifts that are Departmental or school property may be:</w:t>
      </w:r>
    </w:p>
    <w:p w:rsidR="00FA5873" w:rsidRPr="00642041" w:rsidRDefault="00FA5873" w:rsidP="00642041">
      <w:pPr>
        <w:numPr>
          <w:ilvl w:val="0"/>
          <w:numId w:val="27"/>
        </w:numPr>
        <w:spacing w:after="0" w:line="240" w:lineRule="auto"/>
        <w:ind w:left="1134" w:right="95" w:hanging="567"/>
        <w:jc w:val="both"/>
        <w:rPr>
          <w:rFonts w:asciiTheme="majorHAnsi" w:hAnsiTheme="majorHAnsi"/>
          <w:sz w:val="24"/>
          <w:szCs w:val="24"/>
        </w:rPr>
      </w:pPr>
      <w:r w:rsidRPr="00642041">
        <w:rPr>
          <w:rFonts w:asciiTheme="majorHAnsi" w:hAnsiTheme="majorHAnsi"/>
          <w:sz w:val="24"/>
          <w:szCs w:val="24"/>
        </w:rPr>
        <w:t>transferred in title to Victorian Government departments and agencies and repositories of collections, including museums, galleries, libraries, archives and special-interest collections, education or community institutions</w:t>
      </w:r>
    </w:p>
    <w:p w:rsidR="00FA5873" w:rsidRPr="00642041" w:rsidRDefault="00FA5873" w:rsidP="00642041">
      <w:pPr>
        <w:numPr>
          <w:ilvl w:val="0"/>
          <w:numId w:val="27"/>
        </w:numPr>
        <w:spacing w:after="0" w:line="240" w:lineRule="auto"/>
        <w:ind w:left="1134" w:right="95" w:hanging="567"/>
        <w:jc w:val="both"/>
        <w:rPr>
          <w:rFonts w:asciiTheme="majorHAnsi" w:hAnsiTheme="majorHAnsi"/>
          <w:sz w:val="24"/>
          <w:szCs w:val="24"/>
        </w:rPr>
      </w:pPr>
      <w:r w:rsidRPr="00642041">
        <w:rPr>
          <w:rFonts w:asciiTheme="majorHAnsi" w:hAnsiTheme="majorHAnsi"/>
          <w:sz w:val="24"/>
          <w:szCs w:val="24"/>
        </w:rPr>
        <w:t>donated to a nominated non-profit organisation or charity, at the discretion of the recipient and the Department</w:t>
      </w:r>
    </w:p>
    <w:p w:rsidR="00FA5873" w:rsidRPr="00642041" w:rsidRDefault="00FA5873" w:rsidP="00642041">
      <w:pPr>
        <w:numPr>
          <w:ilvl w:val="0"/>
          <w:numId w:val="27"/>
        </w:numPr>
        <w:spacing w:after="0" w:line="240" w:lineRule="auto"/>
        <w:ind w:left="1134" w:right="95" w:hanging="567"/>
        <w:jc w:val="both"/>
        <w:rPr>
          <w:rFonts w:asciiTheme="majorHAnsi" w:hAnsiTheme="majorHAnsi"/>
          <w:sz w:val="24"/>
          <w:szCs w:val="24"/>
        </w:rPr>
      </w:pPr>
      <w:r w:rsidRPr="00642041">
        <w:rPr>
          <w:rFonts w:asciiTheme="majorHAnsi" w:hAnsiTheme="majorHAnsi"/>
          <w:sz w:val="24"/>
          <w:szCs w:val="24"/>
        </w:rPr>
        <w:t>purchased by the recipient (if no Victorian Government entity has made a prior claim)</w:t>
      </w:r>
    </w:p>
    <w:p w:rsidR="00FA5873" w:rsidRPr="00642041" w:rsidRDefault="00FA5873" w:rsidP="00642041">
      <w:pPr>
        <w:numPr>
          <w:ilvl w:val="0"/>
          <w:numId w:val="27"/>
        </w:numPr>
        <w:spacing w:after="0" w:line="240" w:lineRule="auto"/>
        <w:ind w:left="1134" w:right="95" w:hanging="567"/>
        <w:jc w:val="both"/>
        <w:rPr>
          <w:rFonts w:asciiTheme="majorHAnsi" w:hAnsiTheme="majorHAnsi"/>
          <w:sz w:val="24"/>
          <w:szCs w:val="24"/>
        </w:rPr>
      </w:pPr>
      <w:r w:rsidRPr="00642041">
        <w:rPr>
          <w:rFonts w:asciiTheme="majorHAnsi" w:hAnsiTheme="majorHAnsi"/>
          <w:sz w:val="24"/>
          <w:szCs w:val="24"/>
        </w:rPr>
        <w:t>disposed of in an appropriate manner by the Department or school.</w:t>
      </w:r>
    </w:p>
    <w:p w:rsidR="00642041" w:rsidRDefault="00FA5873" w:rsidP="00642041">
      <w:pPr>
        <w:pStyle w:val="NoSpacing"/>
        <w:numPr>
          <w:ilvl w:val="0"/>
          <w:numId w:val="25"/>
        </w:numPr>
        <w:ind w:left="567" w:right="95" w:hanging="567"/>
        <w:jc w:val="both"/>
        <w:rPr>
          <w:rFonts w:asciiTheme="majorHAnsi" w:hAnsiTheme="majorHAnsi"/>
          <w:sz w:val="24"/>
          <w:szCs w:val="24"/>
          <w:lang w:val="en" w:eastAsia="en-AU"/>
        </w:rPr>
      </w:pPr>
      <w:r w:rsidRPr="00642041">
        <w:rPr>
          <w:rFonts w:asciiTheme="majorHAnsi" w:hAnsiTheme="majorHAnsi" w:cs="Arial"/>
          <w:sz w:val="24"/>
          <w:szCs w:val="24"/>
        </w:rPr>
        <w:t xml:space="preserve">Gifts must be retained for one year before they are subject to the disposal process.  </w:t>
      </w:r>
    </w:p>
    <w:p w:rsidR="00FA5873" w:rsidRPr="00642041" w:rsidRDefault="00FA5873" w:rsidP="00642041">
      <w:pPr>
        <w:pStyle w:val="NoSpacing"/>
        <w:numPr>
          <w:ilvl w:val="0"/>
          <w:numId w:val="25"/>
        </w:numPr>
        <w:ind w:left="567" w:right="95" w:hanging="567"/>
        <w:jc w:val="both"/>
        <w:rPr>
          <w:rFonts w:asciiTheme="majorHAnsi" w:hAnsiTheme="majorHAnsi"/>
          <w:sz w:val="24"/>
          <w:szCs w:val="24"/>
          <w:lang w:val="en" w:eastAsia="en-AU"/>
        </w:rPr>
      </w:pPr>
      <w:r w:rsidRPr="00642041">
        <w:rPr>
          <w:rFonts w:asciiTheme="majorHAnsi" w:hAnsiTheme="majorHAnsi"/>
          <w:sz w:val="24"/>
          <w:szCs w:val="24"/>
          <w:lang w:val="en" w:eastAsia="en-AU"/>
        </w:rPr>
        <w:t>Disposal details</w:t>
      </w:r>
      <w:r w:rsidR="00642041" w:rsidRPr="00642041">
        <w:rPr>
          <w:rFonts w:asciiTheme="majorHAnsi" w:hAnsiTheme="majorHAnsi"/>
          <w:sz w:val="24"/>
          <w:szCs w:val="24"/>
          <w:lang w:val="en" w:eastAsia="en-AU"/>
        </w:rPr>
        <w:t xml:space="preserve"> </w:t>
      </w:r>
      <w:r w:rsidR="00642041" w:rsidRPr="00642041">
        <w:rPr>
          <w:rFonts w:asciiTheme="majorHAnsi" w:hAnsiTheme="majorHAnsi"/>
          <w:sz w:val="24"/>
          <w:szCs w:val="24"/>
          <w:lang w:val="en" w:eastAsia="en-AU"/>
        </w:rPr>
        <w:t>must be recorded in the Register</w:t>
      </w:r>
    </w:p>
    <w:p w:rsidR="00FA5873" w:rsidRPr="00642041" w:rsidRDefault="00FA5873" w:rsidP="00642041">
      <w:pPr>
        <w:pStyle w:val="NoSpacing"/>
        <w:numPr>
          <w:ilvl w:val="0"/>
          <w:numId w:val="28"/>
        </w:numPr>
        <w:ind w:left="1134" w:right="95" w:hanging="567"/>
        <w:jc w:val="both"/>
        <w:rPr>
          <w:rFonts w:asciiTheme="majorHAnsi" w:hAnsiTheme="majorHAnsi"/>
          <w:sz w:val="24"/>
          <w:szCs w:val="24"/>
        </w:rPr>
      </w:pPr>
      <w:r w:rsidRPr="00642041">
        <w:rPr>
          <w:rFonts w:asciiTheme="majorHAnsi" w:hAnsiTheme="majorHAnsi"/>
          <w:sz w:val="24"/>
          <w:szCs w:val="24"/>
        </w:rPr>
        <w:t>description of the gift</w:t>
      </w:r>
    </w:p>
    <w:p w:rsidR="00FA5873" w:rsidRPr="00642041" w:rsidRDefault="00FA5873" w:rsidP="00642041">
      <w:pPr>
        <w:pStyle w:val="NoSpacing"/>
        <w:numPr>
          <w:ilvl w:val="0"/>
          <w:numId w:val="28"/>
        </w:numPr>
        <w:ind w:left="1134" w:right="95" w:hanging="567"/>
        <w:jc w:val="both"/>
        <w:rPr>
          <w:rFonts w:asciiTheme="majorHAnsi" w:hAnsiTheme="majorHAnsi"/>
          <w:sz w:val="24"/>
          <w:szCs w:val="24"/>
        </w:rPr>
      </w:pPr>
      <w:r w:rsidRPr="00642041">
        <w:rPr>
          <w:rFonts w:asciiTheme="majorHAnsi" w:hAnsiTheme="majorHAnsi"/>
          <w:sz w:val="24"/>
          <w:szCs w:val="24"/>
        </w:rPr>
        <w:t>date of disposal</w:t>
      </w:r>
    </w:p>
    <w:p w:rsidR="00FA5873" w:rsidRPr="00642041" w:rsidRDefault="00FA5873" w:rsidP="00642041">
      <w:pPr>
        <w:pStyle w:val="NoSpacing"/>
        <w:numPr>
          <w:ilvl w:val="0"/>
          <w:numId w:val="28"/>
        </w:numPr>
        <w:ind w:left="1134" w:right="95" w:hanging="567"/>
        <w:jc w:val="both"/>
        <w:rPr>
          <w:rFonts w:asciiTheme="majorHAnsi" w:hAnsiTheme="majorHAnsi"/>
          <w:sz w:val="24"/>
          <w:szCs w:val="24"/>
        </w:rPr>
      </w:pPr>
      <w:r w:rsidRPr="00642041">
        <w:rPr>
          <w:rFonts w:asciiTheme="majorHAnsi" w:hAnsiTheme="majorHAnsi"/>
          <w:sz w:val="24"/>
          <w:szCs w:val="24"/>
        </w:rPr>
        <w:t>recipient of disposal</w:t>
      </w:r>
    </w:p>
    <w:p w:rsidR="00FA5873" w:rsidRPr="00642041" w:rsidRDefault="00FA5873" w:rsidP="00642041">
      <w:pPr>
        <w:pStyle w:val="NoSpacing"/>
        <w:numPr>
          <w:ilvl w:val="0"/>
          <w:numId w:val="28"/>
        </w:numPr>
        <w:ind w:left="1134" w:right="95" w:hanging="567"/>
        <w:jc w:val="both"/>
        <w:rPr>
          <w:rFonts w:asciiTheme="majorHAnsi" w:hAnsiTheme="majorHAnsi"/>
          <w:sz w:val="24"/>
          <w:szCs w:val="24"/>
        </w:rPr>
      </w:pPr>
      <w:r w:rsidRPr="00642041">
        <w:rPr>
          <w:rFonts w:asciiTheme="majorHAnsi" w:hAnsiTheme="majorHAnsi"/>
          <w:sz w:val="24"/>
          <w:szCs w:val="24"/>
        </w:rPr>
        <w:t>original donor</w:t>
      </w:r>
    </w:p>
    <w:p w:rsidR="00FA5873" w:rsidRPr="00642041" w:rsidRDefault="00FA5873" w:rsidP="00642041">
      <w:pPr>
        <w:pStyle w:val="NoSpacing"/>
        <w:numPr>
          <w:ilvl w:val="0"/>
          <w:numId w:val="29"/>
        </w:numPr>
        <w:ind w:left="1134" w:right="95" w:hanging="567"/>
        <w:jc w:val="both"/>
        <w:rPr>
          <w:rFonts w:asciiTheme="majorHAnsi" w:hAnsiTheme="majorHAnsi"/>
          <w:sz w:val="24"/>
          <w:szCs w:val="24"/>
          <w:lang w:val="en" w:eastAsia="en-AU"/>
        </w:rPr>
      </w:pPr>
      <w:r w:rsidRPr="00642041">
        <w:rPr>
          <w:rFonts w:asciiTheme="majorHAnsi" w:hAnsiTheme="majorHAnsi"/>
          <w:sz w:val="24"/>
          <w:szCs w:val="24"/>
        </w:rPr>
        <w:t>reason for disposal</w:t>
      </w:r>
    </w:p>
    <w:p w:rsidR="00FA5873" w:rsidRPr="00642041" w:rsidRDefault="00FA5873" w:rsidP="00642041">
      <w:pPr>
        <w:pStyle w:val="NoSpacing"/>
        <w:numPr>
          <w:ilvl w:val="0"/>
          <w:numId w:val="25"/>
        </w:numPr>
        <w:ind w:left="567" w:right="95" w:hanging="567"/>
        <w:jc w:val="both"/>
        <w:rPr>
          <w:rFonts w:asciiTheme="majorHAnsi" w:hAnsiTheme="majorHAnsi"/>
          <w:sz w:val="24"/>
          <w:szCs w:val="24"/>
          <w:lang w:val="en" w:eastAsia="en-AU"/>
        </w:rPr>
      </w:pPr>
      <w:r w:rsidRPr="00642041">
        <w:rPr>
          <w:rFonts w:asciiTheme="majorHAnsi" w:hAnsiTheme="majorHAnsi"/>
          <w:sz w:val="24"/>
          <w:szCs w:val="24"/>
          <w:lang w:val="en" w:eastAsia="en-AU"/>
        </w:rPr>
        <w:t>For more information, the school will refer to:</w:t>
      </w:r>
    </w:p>
    <w:p w:rsidR="00FA5873" w:rsidRPr="00642041" w:rsidRDefault="005B7F1E" w:rsidP="00642041">
      <w:pPr>
        <w:pStyle w:val="NoSpacing"/>
        <w:ind w:left="567" w:right="95" w:hanging="567"/>
        <w:jc w:val="both"/>
        <w:rPr>
          <w:rFonts w:asciiTheme="majorHAnsi" w:hAnsiTheme="majorHAnsi"/>
          <w:sz w:val="24"/>
          <w:szCs w:val="24"/>
          <w:lang w:val="en" w:eastAsia="en-AU"/>
        </w:rPr>
      </w:pPr>
      <w:hyperlink r:id="rId10" w:history="1">
        <w:r w:rsidR="00FA5873" w:rsidRPr="00642041">
          <w:rPr>
            <w:rFonts w:asciiTheme="majorHAnsi" w:hAnsiTheme="majorHAnsi"/>
            <w:noProof/>
            <w:color w:val="3757A4"/>
            <w:sz w:val="24"/>
            <w:szCs w:val="24"/>
            <w:lang w:eastAsia="en-AU"/>
          </w:rPr>
          <w:drawing>
            <wp:inline distT="0" distB="0" distL="0" distR="0" wp14:anchorId="02089658" wp14:editId="1E7C4E6A">
              <wp:extent cx="152400" cy="152400"/>
              <wp:effectExtent l="0" t="0" r="0" b="0"/>
              <wp:docPr id="3" name="Picture 3" descr="http://www.education.vic.gov.au/_layouts/images/icdoc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ucation.vic.gov.au/_layouts/images/icdocx.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A5873" w:rsidRPr="00642041">
          <w:rPr>
            <w:rFonts w:asciiTheme="majorHAnsi" w:hAnsiTheme="majorHAnsi"/>
            <w:color w:val="3757A4"/>
            <w:sz w:val="24"/>
            <w:szCs w:val="24"/>
            <w:u w:val="single"/>
            <w:lang w:val="en" w:eastAsia="en-AU"/>
          </w:rPr>
          <w:t>Gifts, Benefits and Hospitality Policy and Guidelines (</w:t>
        </w:r>
        <w:proofErr w:type="spellStart"/>
        <w:r w:rsidR="00FA5873" w:rsidRPr="00642041">
          <w:rPr>
            <w:rFonts w:asciiTheme="majorHAnsi" w:hAnsiTheme="majorHAnsi"/>
            <w:color w:val="3757A4"/>
            <w:sz w:val="24"/>
            <w:szCs w:val="24"/>
            <w:u w:val="single"/>
            <w:lang w:val="en" w:eastAsia="en-AU"/>
          </w:rPr>
          <w:t>docx</w:t>
        </w:r>
        <w:proofErr w:type="spellEnd"/>
        <w:r w:rsidR="00FA5873" w:rsidRPr="00642041">
          <w:rPr>
            <w:rFonts w:asciiTheme="majorHAnsi" w:hAnsiTheme="majorHAnsi"/>
            <w:color w:val="3757A4"/>
            <w:sz w:val="24"/>
            <w:szCs w:val="24"/>
            <w:u w:val="single"/>
            <w:lang w:val="en" w:eastAsia="en-AU"/>
          </w:rPr>
          <w:t xml:space="preserve"> - 379.82kb)</w:t>
        </w:r>
      </w:hyperlink>
      <w:r w:rsidR="00FA5873" w:rsidRPr="00642041">
        <w:rPr>
          <w:rFonts w:asciiTheme="majorHAnsi" w:hAnsiTheme="majorHAnsi"/>
          <w:sz w:val="24"/>
          <w:szCs w:val="24"/>
          <w:lang w:val="en" w:eastAsia="en-AU"/>
        </w:rPr>
        <w:t> </w:t>
      </w:r>
    </w:p>
    <w:p w:rsidR="00FA5873" w:rsidRPr="00642041" w:rsidRDefault="005B7F1E" w:rsidP="00642041">
      <w:pPr>
        <w:pStyle w:val="NoSpacing"/>
        <w:ind w:left="567" w:right="95" w:hanging="567"/>
        <w:jc w:val="both"/>
        <w:rPr>
          <w:rFonts w:asciiTheme="majorHAnsi" w:hAnsiTheme="majorHAnsi"/>
          <w:sz w:val="24"/>
          <w:szCs w:val="24"/>
          <w:lang w:val="en" w:eastAsia="en-AU"/>
        </w:rPr>
      </w:pPr>
      <w:hyperlink r:id="rId12" w:history="1">
        <w:r w:rsidR="00FA5873" w:rsidRPr="00642041">
          <w:rPr>
            <w:rFonts w:asciiTheme="majorHAnsi" w:hAnsiTheme="majorHAnsi"/>
            <w:noProof/>
            <w:color w:val="3757A4"/>
            <w:sz w:val="24"/>
            <w:szCs w:val="24"/>
            <w:lang w:eastAsia="en-AU"/>
          </w:rPr>
          <w:drawing>
            <wp:inline distT="0" distB="0" distL="0" distR="0" wp14:anchorId="21D904F0" wp14:editId="1D9F4029">
              <wp:extent cx="152400" cy="152400"/>
              <wp:effectExtent l="0" t="0" r="0" b="0"/>
              <wp:docPr id="2" name="Picture 2" descr="http://www.education.vic.gov.au/_layouts/images/icg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ucation.vic.gov.au/_layouts/images/icge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A5873" w:rsidRPr="00642041">
          <w:rPr>
            <w:rFonts w:asciiTheme="majorHAnsi" w:hAnsiTheme="majorHAnsi"/>
            <w:color w:val="3757A4"/>
            <w:sz w:val="24"/>
            <w:szCs w:val="24"/>
            <w:u w:val="single"/>
            <w:lang w:val="en" w:eastAsia="en-AU"/>
          </w:rPr>
          <w:t>Gift Declaration Form (</w:t>
        </w:r>
        <w:proofErr w:type="spellStart"/>
        <w:r w:rsidR="00FA5873" w:rsidRPr="00642041">
          <w:rPr>
            <w:rFonts w:asciiTheme="majorHAnsi" w:hAnsiTheme="majorHAnsi"/>
            <w:color w:val="3757A4"/>
            <w:sz w:val="24"/>
            <w:szCs w:val="24"/>
            <w:u w:val="single"/>
            <w:lang w:val="en" w:eastAsia="en-AU"/>
          </w:rPr>
          <w:t>docx</w:t>
        </w:r>
        <w:proofErr w:type="spellEnd"/>
        <w:r w:rsidR="00FA5873" w:rsidRPr="00642041">
          <w:rPr>
            <w:rFonts w:asciiTheme="majorHAnsi" w:hAnsiTheme="majorHAnsi"/>
            <w:color w:val="3757A4"/>
            <w:sz w:val="24"/>
            <w:szCs w:val="24"/>
            <w:u w:val="single"/>
            <w:lang w:val="en" w:eastAsia="en-AU"/>
          </w:rPr>
          <w:t xml:space="preserve"> - 43.61kb)</w:t>
        </w:r>
      </w:hyperlink>
      <w:r w:rsidR="00FA5873" w:rsidRPr="00642041">
        <w:rPr>
          <w:rFonts w:asciiTheme="majorHAnsi" w:hAnsiTheme="majorHAnsi"/>
          <w:sz w:val="24"/>
          <w:szCs w:val="24"/>
          <w:lang w:val="en" w:eastAsia="en-AU"/>
        </w:rPr>
        <w:t> </w:t>
      </w:r>
    </w:p>
    <w:p w:rsidR="00FA5873" w:rsidRPr="00642041" w:rsidRDefault="00FA5873" w:rsidP="001A7A64">
      <w:pPr>
        <w:tabs>
          <w:tab w:val="left" w:pos="709"/>
        </w:tabs>
        <w:ind w:right="95"/>
        <w:jc w:val="both"/>
        <w:rPr>
          <w:rFonts w:asciiTheme="majorHAnsi" w:hAnsiTheme="majorHAnsi"/>
          <w:sz w:val="24"/>
          <w:szCs w:val="24"/>
        </w:rPr>
      </w:pPr>
      <w:bookmarkStart w:id="0" w:name="_GoBack"/>
      <w:bookmarkEnd w:id="0"/>
    </w:p>
    <w:p w:rsidR="00FA5873" w:rsidRPr="00642041" w:rsidRDefault="00FA5873" w:rsidP="00642041">
      <w:pPr>
        <w:tabs>
          <w:tab w:val="left" w:pos="709"/>
        </w:tabs>
        <w:ind w:right="95"/>
        <w:jc w:val="both"/>
        <w:rPr>
          <w:rStyle w:val="SubtleReference"/>
        </w:rPr>
      </w:pPr>
      <w:r w:rsidRPr="00642041">
        <w:rPr>
          <w:rStyle w:val="SubtleReference"/>
        </w:rPr>
        <w:t>Evaluation</w:t>
      </w:r>
    </w:p>
    <w:p w:rsidR="00FA5873" w:rsidRPr="00642041" w:rsidRDefault="00FA5873" w:rsidP="00642041">
      <w:pPr>
        <w:ind w:right="95"/>
        <w:jc w:val="both"/>
        <w:rPr>
          <w:rFonts w:asciiTheme="majorHAnsi" w:hAnsiTheme="majorHAnsi" w:cs="Tahoma"/>
          <w:b/>
          <w:bCs/>
          <w:lang w:val="en-US"/>
        </w:rPr>
      </w:pPr>
      <w:r w:rsidRPr="00642041">
        <w:rPr>
          <w:rFonts w:asciiTheme="majorHAnsi" w:hAnsiTheme="majorHAnsi"/>
        </w:rPr>
        <w:t>This policy will be reviewed as part of the school’s three-year review cycle or if guidelines change (latest DET update mid-August 2017).</w:t>
      </w:r>
    </w:p>
    <w:p w:rsidR="00642041" w:rsidRDefault="00642041" w:rsidP="00642041">
      <w:pPr>
        <w:tabs>
          <w:tab w:val="left" w:pos="709"/>
        </w:tabs>
        <w:ind w:right="95"/>
        <w:jc w:val="both"/>
        <w:rPr>
          <w:rStyle w:val="SubtleReference"/>
        </w:rPr>
      </w:pPr>
    </w:p>
    <w:p w:rsidR="00642041" w:rsidRPr="00642041" w:rsidRDefault="00642041" w:rsidP="00642041">
      <w:pPr>
        <w:tabs>
          <w:tab w:val="left" w:pos="709"/>
        </w:tabs>
        <w:ind w:right="95"/>
        <w:jc w:val="both"/>
        <w:rPr>
          <w:rStyle w:val="SubtleReference"/>
        </w:rPr>
      </w:pPr>
      <w:r w:rsidRPr="00642041">
        <w:rPr>
          <w:rStyle w:val="SubtleReference"/>
        </w:rPr>
        <w:t>Evaluation</w:t>
      </w:r>
    </w:p>
    <w:p w:rsidR="00C518F3" w:rsidRDefault="00C518F3" w:rsidP="00642041">
      <w:pPr>
        <w:ind w:left="567" w:right="95" w:hanging="567"/>
        <w:jc w:val="both"/>
        <w:rPr>
          <w:rFonts w:asciiTheme="majorHAnsi" w:hAnsiTheme="majorHAnsi"/>
          <w:sz w:val="24"/>
          <w:szCs w:val="24"/>
        </w:rPr>
      </w:pPr>
      <w:r w:rsidRPr="00642041">
        <w:rPr>
          <w:rFonts w:asciiTheme="majorHAnsi" w:hAnsiTheme="majorHAnsi"/>
          <w:sz w:val="24"/>
          <w:szCs w:val="24"/>
        </w:rPr>
        <w:t xml:space="preserve">This </w:t>
      </w:r>
      <w:r w:rsidR="00BC26EC" w:rsidRPr="00642041">
        <w:rPr>
          <w:rFonts w:asciiTheme="majorHAnsi" w:hAnsiTheme="majorHAnsi"/>
          <w:sz w:val="24"/>
          <w:szCs w:val="24"/>
        </w:rPr>
        <w:t xml:space="preserve">policy </w:t>
      </w:r>
      <w:r w:rsidRPr="00642041">
        <w:rPr>
          <w:rFonts w:asciiTheme="majorHAnsi" w:hAnsiTheme="majorHAnsi"/>
          <w:sz w:val="24"/>
          <w:szCs w:val="24"/>
        </w:rPr>
        <w:t xml:space="preserve">was ratified by </w:t>
      </w:r>
      <w:r w:rsidR="00BC26EC" w:rsidRPr="00642041">
        <w:rPr>
          <w:rFonts w:asciiTheme="majorHAnsi" w:hAnsiTheme="majorHAnsi"/>
          <w:sz w:val="24"/>
          <w:szCs w:val="24"/>
        </w:rPr>
        <w:t xml:space="preserve">the </w:t>
      </w:r>
      <w:r w:rsidR="001D7997" w:rsidRPr="00642041">
        <w:rPr>
          <w:rFonts w:asciiTheme="majorHAnsi" w:hAnsiTheme="majorHAnsi"/>
          <w:sz w:val="24"/>
          <w:szCs w:val="24"/>
        </w:rPr>
        <w:t xml:space="preserve">College </w:t>
      </w:r>
      <w:r w:rsidR="00BC26EC" w:rsidRPr="00642041">
        <w:rPr>
          <w:rFonts w:asciiTheme="majorHAnsi" w:hAnsiTheme="majorHAnsi"/>
          <w:sz w:val="24"/>
          <w:szCs w:val="24"/>
        </w:rPr>
        <w:t>Council o</w:t>
      </w:r>
      <w:r w:rsidRPr="00642041">
        <w:rPr>
          <w:rFonts w:asciiTheme="majorHAnsi" w:hAnsiTheme="majorHAnsi"/>
          <w:sz w:val="24"/>
          <w:szCs w:val="24"/>
        </w:rPr>
        <w:t xml:space="preserve">n </w:t>
      </w:r>
      <w:r w:rsidR="00642041">
        <w:rPr>
          <w:rFonts w:asciiTheme="majorHAnsi" w:hAnsiTheme="majorHAnsi"/>
          <w:sz w:val="24"/>
          <w:szCs w:val="24"/>
        </w:rPr>
        <w:t>15</w:t>
      </w:r>
      <w:r w:rsidR="00642041" w:rsidRPr="00642041">
        <w:rPr>
          <w:rFonts w:asciiTheme="majorHAnsi" w:hAnsiTheme="majorHAnsi"/>
          <w:sz w:val="24"/>
          <w:szCs w:val="24"/>
          <w:vertAlign w:val="superscript"/>
        </w:rPr>
        <w:t>th</w:t>
      </w:r>
      <w:r w:rsidR="00642041">
        <w:rPr>
          <w:rFonts w:asciiTheme="majorHAnsi" w:hAnsiTheme="majorHAnsi"/>
          <w:sz w:val="24"/>
          <w:szCs w:val="24"/>
        </w:rPr>
        <w:t xml:space="preserve"> </w:t>
      </w:r>
      <w:proofErr w:type="gramStart"/>
      <w:r w:rsidR="00642041">
        <w:rPr>
          <w:rFonts w:asciiTheme="majorHAnsi" w:hAnsiTheme="majorHAnsi"/>
          <w:sz w:val="24"/>
          <w:szCs w:val="24"/>
        </w:rPr>
        <w:t>February,</w:t>
      </w:r>
      <w:proofErr w:type="gramEnd"/>
      <w:r w:rsidR="00642041">
        <w:rPr>
          <w:rFonts w:asciiTheme="majorHAnsi" w:hAnsiTheme="majorHAnsi"/>
          <w:sz w:val="24"/>
          <w:szCs w:val="24"/>
        </w:rPr>
        <w:t xml:space="preserve"> 2018.</w:t>
      </w:r>
    </w:p>
    <w:p w:rsidR="00642041" w:rsidRPr="00642041" w:rsidRDefault="00642041" w:rsidP="00642041">
      <w:pPr>
        <w:ind w:left="567" w:right="95" w:hanging="567"/>
        <w:jc w:val="both"/>
        <w:rPr>
          <w:rFonts w:asciiTheme="majorHAnsi" w:hAnsiTheme="majorHAnsi"/>
          <w:sz w:val="24"/>
          <w:szCs w:val="24"/>
        </w:rPr>
      </w:pPr>
    </w:p>
    <w:p w:rsidR="00C518F3" w:rsidRPr="00642041" w:rsidRDefault="00C518F3" w:rsidP="00642041">
      <w:pPr>
        <w:ind w:right="95"/>
        <w:jc w:val="both"/>
        <w:rPr>
          <w:smallCaps/>
        </w:rPr>
      </w:pPr>
      <w:r w:rsidRPr="00642041">
        <w:rPr>
          <w:rStyle w:val="SubtleReference"/>
        </w:rPr>
        <w:t>References</w:t>
      </w:r>
    </w:p>
    <w:p w:rsidR="00C518F3" w:rsidRPr="00642041" w:rsidRDefault="005B7F1E" w:rsidP="00642041">
      <w:pPr>
        <w:ind w:right="95"/>
        <w:jc w:val="both"/>
        <w:rPr>
          <w:rFonts w:asciiTheme="majorHAnsi" w:hAnsiTheme="majorHAnsi"/>
        </w:rPr>
      </w:pPr>
      <w:hyperlink r:id="rId14" w:history="1">
        <w:r w:rsidR="00C518F3" w:rsidRPr="00642041">
          <w:rPr>
            <w:rFonts w:asciiTheme="majorHAnsi" w:hAnsiTheme="majorHAnsi"/>
          </w:rPr>
          <w:t>www.education.vic.gov.au/school/principals/spag/governance/pages/gifts.aspx</w:t>
        </w:r>
      </w:hyperlink>
    </w:p>
    <w:p w:rsidR="00365E49" w:rsidRPr="00642041" w:rsidRDefault="00C518F3" w:rsidP="00642041">
      <w:pPr>
        <w:ind w:right="95"/>
        <w:jc w:val="both"/>
        <w:rPr>
          <w:rFonts w:asciiTheme="majorHAnsi" w:hAnsiTheme="majorHAnsi"/>
        </w:rPr>
      </w:pPr>
      <w:r w:rsidRPr="00642041">
        <w:rPr>
          <w:rFonts w:asciiTheme="majorHAnsi" w:hAnsiTheme="majorHAnsi"/>
        </w:rPr>
        <w:t xml:space="preserve">Gifts, Benefits &amp; Hospitality Policy Revised </w:t>
      </w:r>
      <w:r w:rsidR="00FA5873" w:rsidRPr="00642041">
        <w:rPr>
          <w:rFonts w:asciiTheme="majorHAnsi" w:hAnsiTheme="majorHAnsi"/>
        </w:rPr>
        <w:t>February 2017</w:t>
      </w:r>
      <w:r w:rsidR="001A7A64">
        <w:rPr>
          <w:rFonts w:asciiTheme="majorHAnsi" w:hAnsiTheme="majorHAnsi"/>
        </w:rPr>
        <w:t xml:space="preserve"> </w:t>
      </w:r>
      <w:r w:rsidRPr="00642041">
        <w:rPr>
          <w:rFonts w:asciiTheme="majorHAnsi" w:hAnsiTheme="majorHAnsi"/>
        </w:rPr>
        <w:t>(for DET Employees, Teaching Service Employees, School Council Employees and School Councillors)</w:t>
      </w:r>
    </w:p>
    <w:sectPr w:rsidR="00365E49" w:rsidRPr="0064204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F1E" w:rsidRDefault="005B7F1E" w:rsidP="00FB2210">
      <w:pPr>
        <w:spacing w:after="0" w:line="240" w:lineRule="auto"/>
      </w:pPr>
      <w:r>
        <w:separator/>
      </w:r>
    </w:p>
  </w:endnote>
  <w:endnote w:type="continuationSeparator" w:id="0">
    <w:p w:rsidR="005B7F1E" w:rsidRDefault="005B7F1E" w:rsidP="00FB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221619"/>
      <w:docPartObj>
        <w:docPartGallery w:val="Page Numbers (Bottom of Page)"/>
        <w:docPartUnique/>
      </w:docPartObj>
    </w:sdtPr>
    <w:sdtEndPr>
      <w:rPr>
        <w:noProof/>
      </w:rPr>
    </w:sdtEndPr>
    <w:sdtContent>
      <w:p w:rsidR="00FB2210" w:rsidRDefault="00FB2210" w:rsidP="00642041">
        <w:pPr>
          <w:pStyle w:val="Footer"/>
          <w:jc w:val="center"/>
        </w:pPr>
        <w:r>
          <w:fldChar w:fldCharType="begin"/>
        </w:r>
        <w:r>
          <w:instrText xml:space="preserve"> PAGE   \* MERGEFORMAT </w:instrText>
        </w:r>
        <w:r>
          <w:fldChar w:fldCharType="separate"/>
        </w:r>
        <w:r w:rsidR="001A7A64">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F1E" w:rsidRDefault="005B7F1E" w:rsidP="00FB2210">
      <w:pPr>
        <w:spacing w:after="0" w:line="240" w:lineRule="auto"/>
      </w:pPr>
      <w:r>
        <w:separator/>
      </w:r>
    </w:p>
  </w:footnote>
  <w:footnote w:type="continuationSeparator" w:id="0">
    <w:p w:rsidR="005B7F1E" w:rsidRDefault="005B7F1E" w:rsidP="00FB2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21"/>
      <w:gridCol w:w="2495"/>
    </w:tblGrid>
    <w:tr w:rsidR="00FB2210" w:rsidTr="00642041">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FB2210" w:rsidRPr="00FB2210" w:rsidRDefault="00FB2210" w:rsidP="00642041">
          <w:pPr>
            <w:jc w:val="center"/>
            <w:rPr>
              <w:rFonts w:asciiTheme="majorHAnsi" w:hAnsiTheme="majorHAnsi"/>
              <w:b/>
              <w:sz w:val="36"/>
              <w:szCs w:val="36"/>
              <w:lang w:eastAsia="en-AU"/>
            </w:rPr>
          </w:pPr>
          <w:r w:rsidRPr="00642041">
            <w:rPr>
              <w:rFonts w:asciiTheme="majorHAnsi" w:hAnsiTheme="majorHAnsi"/>
              <w:sz w:val="36"/>
              <w:szCs w:val="36"/>
              <w:lang w:eastAsia="en-AU"/>
            </w:rPr>
            <w:t>GIFTS, BENEFITS &amp; HOSPITALITY POLICY</w:t>
          </w:r>
        </w:p>
      </w:tc>
      <w:tc>
        <w:tcPr>
          <w:tcW w:w="2694" w:type="dxa"/>
          <w:tcBorders>
            <w:top w:val="single" w:sz="4" w:space="0" w:color="auto"/>
            <w:left w:val="single" w:sz="4" w:space="0" w:color="auto"/>
            <w:bottom w:val="single" w:sz="4" w:space="0" w:color="auto"/>
            <w:right w:val="single" w:sz="4" w:space="0" w:color="auto"/>
          </w:tcBorders>
          <w:hideMark/>
        </w:tcPr>
        <w:p w:rsidR="00FB2210" w:rsidRDefault="00FB2210" w:rsidP="00FB2210">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FB2210" w:rsidRDefault="00FB2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80D79"/>
    <w:multiLevelType w:val="hybridMultilevel"/>
    <w:tmpl w:val="1B6AF656"/>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 w15:restartNumberingAfterBreak="0">
    <w:nsid w:val="09EB310D"/>
    <w:multiLevelType w:val="hybridMultilevel"/>
    <w:tmpl w:val="D4126CD2"/>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2DD63B4"/>
    <w:multiLevelType w:val="hybridMultilevel"/>
    <w:tmpl w:val="FCBE88A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6114E"/>
    <w:multiLevelType w:val="hybridMultilevel"/>
    <w:tmpl w:val="B7B6614E"/>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15:restartNumberingAfterBreak="0">
    <w:nsid w:val="13AB3B46"/>
    <w:multiLevelType w:val="hybridMultilevel"/>
    <w:tmpl w:val="8D7E8904"/>
    <w:lvl w:ilvl="0" w:tplc="FFFFFFFF">
      <w:start w:val="1"/>
      <w:numFmt w:val="bullet"/>
      <w:lvlText w:val=""/>
      <w:legacy w:legacy="1" w:legacySpace="0" w:legacyIndent="360"/>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0318DD"/>
    <w:multiLevelType w:val="hybridMultilevel"/>
    <w:tmpl w:val="3C364284"/>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277851A4"/>
    <w:multiLevelType w:val="hybridMultilevel"/>
    <w:tmpl w:val="AB66187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297A75F6"/>
    <w:multiLevelType w:val="hybridMultilevel"/>
    <w:tmpl w:val="41BE9890"/>
    <w:lvl w:ilvl="0" w:tplc="479812EC">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9" w15:restartNumberingAfterBreak="0">
    <w:nsid w:val="2A6C2C7F"/>
    <w:multiLevelType w:val="hybridMultilevel"/>
    <w:tmpl w:val="68A88970"/>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0" w15:restartNumberingAfterBreak="0">
    <w:nsid w:val="31A83AA3"/>
    <w:multiLevelType w:val="hybridMultilevel"/>
    <w:tmpl w:val="81C60E24"/>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340D0CA9"/>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abstractNum w:abstractNumId="12" w15:restartNumberingAfterBreak="0">
    <w:nsid w:val="3C6A6B97"/>
    <w:multiLevelType w:val="hybridMultilevel"/>
    <w:tmpl w:val="9DD0BD9C"/>
    <w:lvl w:ilvl="0" w:tplc="E9A63CAE">
      <w:numFmt w:val="bullet"/>
      <w:lvlText w:val="─"/>
      <w:lvlJc w:val="left"/>
      <w:pPr>
        <w:ind w:left="1170" w:hanging="360"/>
      </w:pPr>
      <w:rPr>
        <w:rFonts w:ascii="Calibri Light" w:eastAsiaTheme="minorHAnsi" w:hAnsi="Calibri Light" w:cstheme="minorBidi" w:hint="default"/>
        <w:color w:val="auto"/>
      </w:rPr>
    </w:lvl>
    <w:lvl w:ilvl="1" w:tplc="0C090003" w:tentative="1">
      <w:start w:val="1"/>
      <w:numFmt w:val="bullet"/>
      <w:lvlText w:val="o"/>
      <w:lvlJc w:val="left"/>
      <w:pPr>
        <w:ind w:left="1890" w:hanging="360"/>
      </w:pPr>
      <w:rPr>
        <w:rFonts w:ascii="Courier New" w:hAnsi="Courier New" w:cs="Courier New" w:hint="default"/>
      </w:rPr>
    </w:lvl>
    <w:lvl w:ilvl="2" w:tplc="0C090005" w:tentative="1">
      <w:start w:val="1"/>
      <w:numFmt w:val="bullet"/>
      <w:lvlText w:val=""/>
      <w:lvlJc w:val="left"/>
      <w:pPr>
        <w:ind w:left="2610" w:hanging="360"/>
      </w:pPr>
      <w:rPr>
        <w:rFonts w:ascii="Wingdings" w:hAnsi="Wingdings" w:hint="default"/>
      </w:rPr>
    </w:lvl>
    <w:lvl w:ilvl="3" w:tplc="0C090001" w:tentative="1">
      <w:start w:val="1"/>
      <w:numFmt w:val="bullet"/>
      <w:lvlText w:val=""/>
      <w:lvlJc w:val="left"/>
      <w:pPr>
        <w:ind w:left="3330" w:hanging="360"/>
      </w:pPr>
      <w:rPr>
        <w:rFonts w:ascii="Symbol" w:hAnsi="Symbol" w:hint="default"/>
      </w:rPr>
    </w:lvl>
    <w:lvl w:ilvl="4" w:tplc="0C090003" w:tentative="1">
      <w:start w:val="1"/>
      <w:numFmt w:val="bullet"/>
      <w:lvlText w:val="o"/>
      <w:lvlJc w:val="left"/>
      <w:pPr>
        <w:ind w:left="4050" w:hanging="360"/>
      </w:pPr>
      <w:rPr>
        <w:rFonts w:ascii="Courier New" w:hAnsi="Courier New" w:cs="Courier New" w:hint="default"/>
      </w:rPr>
    </w:lvl>
    <w:lvl w:ilvl="5" w:tplc="0C090005" w:tentative="1">
      <w:start w:val="1"/>
      <w:numFmt w:val="bullet"/>
      <w:lvlText w:val=""/>
      <w:lvlJc w:val="left"/>
      <w:pPr>
        <w:ind w:left="4770" w:hanging="360"/>
      </w:pPr>
      <w:rPr>
        <w:rFonts w:ascii="Wingdings" w:hAnsi="Wingdings" w:hint="default"/>
      </w:rPr>
    </w:lvl>
    <w:lvl w:ilvl="6" w:tplc="0C090001" w:tentative="1">
      <w:start w:val="1"/>
      <w:numFmt w:val="bullet"/>
      <w:lvlText w:val=""/>
      <w:lvlJc w:val="left"/>
      <w:pPr>
        <w:ind w:left="5490" w:hanging="360"/>
      </w:pPr>
      <w:rPr>
        <w:rFonts w:ascii="Symbol" w:hAnsi="Symbol" w:hint="default"/>
      </w:rPr>
    </w:lvl>
    <w:lvl w:ilvl="7" w:tplc="0C090003" w:tentative="1">
      <w:start w:val="1"/>
      <w:numFmt w:val="bullet"/>
      <w:lvlText w:val="o"/>
      <w:lvlJc w:val="left"/>
      <w:pPr>
        <w:ind w:left="6210" w:hanging="360"/>
      </w:pPr>
      <w:rPr>
        <w:rFonts w:ascii="Courier New" w:hAnsi="Courier New" w:cs="Courier New" w:hint="default"/>
      </w:rPr>
    </w:lvl>
    <w:lvl w:ilvl="8" w:tplc="0C090005" w:tentative="1">
      <w:start w:val="1"/>
      <w:numFmt w:val="bullet"/>
      <w:lvlText w:val=""/>
      <w:lvlJc w:val="left"/>
      <w:pPr>
        <w:ind w:left="6930" w:hanging="360"/>
      </w:pPr>
      <w:rPr>
        <w:rFonts w:ascii="Wingdings" w:hAnsi="Wingdings" w:hint="default"/>
      </w:rPr>
    </w:lvl>
  </w:abstractNum>
  <w:abstractNum w:abstractNumId="13" w15:restartNumberingAfterBreak="0">
    <w:nsid w:val="43FB436E"/>
    <w:multiLevelType w:val="hybridMultilevel"/>
    <w:tmpl w:val="599E8148"/>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4" w15:restartNumberingAfterBreak="0">
    <w:nsid w:val="44FD709D"/>
    <w:multiLevelType w:val="hybridMultilevel"/>
    <w:tmpl w:val="286E576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5" w15:restartNumberingAfterBreak="0">
    <w:nsid w:val="483859F3"/>
    <w:multiLevelType w:val="hybridMultilevel"/>
    <w:tmpl w:val="DB746E1A"/>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4F912E2E"/>
    <w:multiLevelType w:val="hybridMultilevel"/>
    <w:tmpl w:val="4FD04C2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15:restartNumberingAfterBreak="0">
    <w:nsid w:val="51475596"/>
    <w:multiLevelType w:val="hybridMultilevel"/>
    <w:tmpl w:val="7AA47DA2"/>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57B75F83"/>
    <w:multiLevelType w:val="hybridMultilevel"/>
    <w:tmpl w:val="D0ACDAC0"/>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9" w15:restartNumberingAfterBreak="0">
    <w:nsid w:val="58EC2440"/>
    <w:multiLevelType w:val="hybridMultilevel"/>
    <w:tmpl w:val="58B45C18"/>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0" w15:restartNumberingAfterBreak="0">
    <w:nsid w:val="5D1E03AA"/>
    <w:multiLevelType w:val="hybridMultilevel"/>
    <w:tmpl w:val="A006B122"/>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1" w15:restartNumberingAfterBreak="0">
    <w:nsid w:val="5D3C0A83"/>
    <w:multiLevelType w:val="hybridMultilevel"/>
    <w:tmpl w:val="E87A4560"/>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2" w15:restartNumberingAfterBreak="0">
    <w:nsid w:val="62290698"/>
    <w:multiLevelType w:val="hybridMultilevel"/>
    <w:tmpl w:val="FE6C2DD4"/>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3" w15:restartNumberingAfterBreak="0">
    <w:nsid w:val="64741208"/>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24" w15:restartNumberingAfterBreak="0">
    <w:nsid w:val="6F0B5253"/>
    <w:multiLevelType w:val="hybridMultilevel"/>
    <w:tmpl w:val="0842254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73B94AEA"/>
    <w:multiLevelType w:val="hybridMultilevel"/>
    <w:tmpl w:val="6742E742"/>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743C71AB"/>
    <w:multiLevelType w:val="hybridMultilevel"/>
    <w:tmpl w:val="EF38E1F8"/>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7" w15:restartNumberingAfterBreak="0">
    <w:nsid w:val="7AE616F3"/>
    <w:multiLevelType w:val="hybridMultilevel"/>
    <w:tmpl w:val="1FAEA31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15:restartNumberingAfterBreak="0">
    <w:nsid w:val="7DEA4F41"/>
    <w:multiLevelType w:val="hybridMultilevel"/>
    <w:tmpl w:val="759C6D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24"/>
  </w:num>
  <w:num w:numId="2">
    <w:abstractNumId w:val="27"/>
  </w:num>
  <w:num w:numId="3">
    <w:abstractNumId w:val="28"/>
  </w:num>
  <w:num w:numId="4">
    <w:abstractNumId w:val="7"/>
  </w:num>
  <w:num w:numId="5">
    <w:abstractNumId w:val="4"/>
  </w:num>
  <w:num w:numId="6">
    <w:abstractNumId w:val="19"/>
  </w:num>
  <w:num w:numId="7">
    <w:abstractNumId w:val="21"/>
  </w:num>
  <w:num w:numId="8">
    <w:abstractNumId w:val="22"/>
  </w:num>
  <w:num w:numId="9">
    <w:abstractNumId w:val="9"/>
  </w:num>
  <w:num w:numId="10">
    <w:abstractNumId w:val="13"/>
  </w:num>
  <w:num w:numId="11">
    <w:abstractNumId w:val="1"/>
  </w:num>
  <w:num w:numId="12">
    <w:abstractNumId w:val="26"/>
  </w:num>
  <w:num w:numId="13">
    <w:abstractNumId w:val="14"/>
  </w:num>
  <w:num w:numId="14">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15">
    <w:abstractNumId w:val="23"/>
  </w:num>
  <w:num w:numId="16">
    <w:abstractNumId w:val="11"/>
  </w:num>
  <w:num w:numId="17">
    <w:abstractNumId w:val="5"/>
  </w:num>
  <w:num w:numId="18">
    <w:abstractNumId w:val="16"/>
  </w:num>
  <w:num w:numId="19">
    <w:abstractNumId w:val="25"/>
  </w:num>
  <w:num w:numId="20">
    <w:abstractNumId w:val="8"/>
  </w:num>
  <w:num w:numId="21">
    <w:abstractNumId w:val="3"/>
  </w:num>
  <w:num w:numId="22">
    <w:abstractNumId w:val="18"/>
  </w:num>
  <w:num w:numId="23">
    <w:abstractNumId w:val="20"/>
  </w:num>
  <w:num w:numId="24">
    <w:abstractNumId w:val="12"/>
  </w:num>
  <w:num w:numId="25">
    <w:abstractNumId w:val="15"/>
  </w:num>
  <w:num w:numId="26">
    <w:abstractNumId w:val="17"/>
  </w:num>
  <w:num w:numId="27">
    <w:abstractNumId w:val="6"/>
  </w:num>
  <w:num w:numId="28">
    <w:abstractNumId w:val="2"/>
  </w:num>
  <w:num w:numId="2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21D1F"/>
    <w:rsid w:val="00023A72"/>
    <w:rsid w:val="00025B96"/>
    <w:rsid w:val="000276EB"/>
    <w:rsid w:val="00032092"/>
    <w:rsid w:val="0004118F"/>
    <w:rsid w:val="00091DD9"/>
    <w:rsid w:val="000C42FF"/>
    <w:rsid w:val="00135515"/>
    <w:rsid w:val="001647A5"/>
    <w:rsid w:val="001A7A64"/>
    <w:rsid w:val="001D6C99"/>
    <w:rsid w:val="001D7997"/>
    <w:rsid w:val="002C7F9C"/>
    <w:rsid w:val="002E46DB"/>
    <w:rsid w:val="00365E49"/>
    <w:rsid w:val="003776E2"/>
    <w:rsid w:val="003A073E"/>
    <w:rsid w:val="003C0605"/>
    <w:rsid w:val="003D6325"/>
    <w:rsid w:val="00432590"/>
    <w:rsid w:val="004936BB"/>
    <w:rsid w:val="00522E39"/>
    <w:rsid w:val="0057101F"/>
    <w:rsid w:val="005B7F1E"/>
    <w:rsid w:val="005E3B6A"/>
    <w:rsid w:val="005E74E1"/>
    <w:rsid w:val="006342C1"/>
    <w:rsid w:val="00641BA6"/>
    <w:rsid w:val="00642041"/>
    <w:rsid w:val="0064644B"/>
    <w:rsid w:val="006F70AC"/>
    <w:rsid w:val="00701CB8"/>
    <w:rsid w:val="00722273"/>
    <w:rsid w:val="00745122"/>
    <w:rsid w:val="007A3168"/>
    <w:rsid w:val="007C35C5"/>
    <w:rsid w:val="008001EE"/>
    <w:rsid w:val="00823C27"/>
    <w:rsid w:val="008D0106"/>
    <w:rsid w:val="008F6296"/>
    <w:rsid w:val="00912DA4"/>
    <w:rsid w:val="0097763D"/>
    <w:rsid w:val="0099242A"/>
    <w:rsid w:val="00992440"/>
    <w:rsid w:val="009F48A5"/>
    <w:rsid w:val="00A26259"/>
    <w:rsid w:val="00A97010"/>
    <w:rsid w:val="00AA29D3"/>
    <w:rsid w:val="00AD1403"/>
    <w:rsid w:val="00B32355"/>
    <w:rsid w:val="00B5278D"/>
    <w:rsid w:val="00B65D9F"/>
    <w:rsid w:val="00B85E6B"/>
    <w:rsid w:val="00BC26EC"/>
    <w:rsid w:val="00BE2928"/>
    <w:rsid w:val="00BE2EA6"/>
    <w:rsid w:val="00C518F3"/>
    <w:rsid w:val="00C66479"/>
    <w:rsid w:val="00D02305"/>
    <w:rsid w:val="00D032BE"/>
    <w:rsid w:val="00D42A2E"/>
    <w:rsid w:val="00DB36B6"/>
    <w:rsid w:val="00DC79AA"/>
    <w:rsid w:val="00DD0BCB"/>
    <w:rsid w:val="00E92890"/>
    <w:rsid w:val="00F04A11"/>
    <w:rsid w:val="00F405D3"/>
    <w:rsid w:val="00F56A8E"/>
    <w:rsid w:val="00F77E14"/>
    <w:rsid w:val="00FA5873"/>
    <w:rsid w:val="00FB2210"/>
    <w:rsid w:val="00FE7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25873"/>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E2928"/>
    <w:pPr>
      <w:keepNext/>
      <w:spacing w:after="0" w:line="240" w:lineRule="auto"/>
      <w:jc w:val="center"/>
      <w:outlineLvl w:val="0"/>
    </w:pPr>
    <w:rPr>
      <w:rFonts w:ascii="Times New Roman" w:eastAsia="Times New Roman" w:hAnsi="Times New Roman" w:cs="Times New Roman"/>
      <w:b/>
      <w:color w:val="FF0000"/>
      <w:sz w:val="5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character" w:customStyle="1" w:styleId="Heading1Char">
    <w:name w:val="Heading 1 Char"/>
    <w:basedOn w:val="DefaultParagraphFont"/>
    <w:link w:val="Heading1"/>
    <w:rsid w:val="00BE2928"/>
    <w:rPr>
      <w:rFonts w:ascii="Times New Roman" w:eastAsia="Times New Roman" w:hAnsi="Times New Roman" w:cs="Times New Roman"/>
      <w:b/>
      <w:color w:val="FF0000"/>
      <w:sz w:val="56"/>
      <w:szCs w:val="24"/>
    </w:rPr>
  </w:style>
  <w:style w:type="paragraph" w:customStyle="1" w:styleId="Default">
    <w:name w:val="Default"/>
    <w:rsid w:val="00BE2928"/>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FB2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210"/>
  </w:style>
  <w:style w:type="paragraph" w:styleId="Title">
    <w:name w:val="Title"/>
    <w:basedOn w:val="Normal"/>
    <w:link w:val="TitleChar"/>
    <w:qFormat/>
    <w:rsid w:val="00FB2210"/>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FB2210"/>
    <w:rPr>
      <w:rFonts w:asciiTheme="majorHAnsi" w:eastAsia="Times New Roman" w:hAnsiTheme="majorHAnsi" w:cs="Times New Roman"/>
      <w:b/>
      <w:caps/>
      <w:sz w:val="28"/>
      <w:szCs w:val="24"/>
    </w:rPr>
  </w:style>
  <w:style w:type="table" w:styleId="TableGrid">
    <w:name w:val="Table Grid"/>
    <w:basedOn w:val="TableNormal"/>
    <w:rsid w:val="00FB2210"/>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FB2210"/>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3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Documents/school/principals/spag/governance/giftdecform.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education.vic.gov.au/Documents/school/principals/spag/governance/giftsbenefitshospitality.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vic.gov.au/school/principals/spag/governance/pages/gif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F67A7-82EF-411F-B5A8-3E6146D425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22756A-003D-498F-9DEC-0B4EBD032B8B}">
  <ds:schemaRefs>
    <ds:schemaRef ds:uri="http://schemas.microsoft.com/sharepoint/v3/contenttype/forms"/>
  </ds:schemaRefs>
</ds:datastoreItem>
</file>

<file path=customXml/itemProps3.xml><?xml version="1.0" encoding="utf-8"?>
<ds:datastoreItem xmlns:ds="http://schemas.openxmlformats.org/officeDocument/2006/customXml" ds:itemID="{76B04EDD-D9DA-4AE4-9E2F-22AFAF1AC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6</cp:revision>
  <dcterms:created xsi:type="dcterms:W3CDTF">2017-09-14T04:01:00Z</dcterms:created>
  <dcterms:modified xsi:type="dcterms:W3CDTF">2018-01-01T02:32:00Z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