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1C" w:rsidRPr="00A51D80" w:rsidRDefault="00A51D80" w:rsidP="00027DF5">
      <w:pPr>
        <w:pStyle w:val="NoSpacing"/>
        <w:ind w:left="567" w:right="-46" w:hanging="567"/>
        <w:jc w:val="both"/>
        <w:rPr>
          <w:rFonts w:ascii="Calibri Light" w:hAnsi="Calibri Light" w:cs="Calibri Light"/>
          <w:sz w:val="24"/>
          <w:szCs w:val="24"/>
          <w:u w:val="single"/>
          <w:lang w:val="en-US" w:eastAsia="en-AU"/>
        </w:rPr>
      </w:pPr>
      <w:bookmarkStart w:id="0" w:name="_GoBack"/>
      <w:r w:rsidRPr="00A51D80">
        <w:rPr>
          <w:rFonts w:ascii="Calibri Light" w:hAnsi="Calibri Light" w:cs="Calibri Light"/>
          <w:sz w:val="24"/>
          <w:szCs w:val="24"/>
          <w:u w:val="single"/>
          <w:lang w:val="en-US" w:eastAsia="en-AU"/>
        </w:rPr>
        <w:t>RATIONALE</w:t>
      </w:r>
    </w:p>
    <w:bookmarkEnd w:id="0"/>
    <w:p w:rsidR="00EB221C" w:rsidRPr="00A51D80" w:rsidRDefault="00EB221C" w:rsidP="00027DF5">
      <w:pPr>
        <w:pStyle w:val="NoSpacing"/>
        <w:numPr>
          <w:ilvl w:val="0"/>
          <w:numId w:val="43"/>
        </w:numPr>
        <w:ind w:left="567" w:right="-46"/>
        <w:jc w:val="both"/>
        <w:rPr>
          <w:rFonts w:ascii="Calibri Light" w:hAnsi="Calibri Light" w:cs="Calibri Light"/>
          <w:sz w:val="24"/>
          <w:szCs w:val="24"/>
          <w:lang w:val="en-US" w:eastAsia="en-AU"/>
        </w:rPr>
      </w:pPr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 xml:space="preserve">In accordance with Part 4 Division 2 Regulation 48 of the </w:t>
      </w:r>
      <w:r w:rsidRPr="00A51D80">
        <w:rPr>
          <w:rFonts w:ascii="Calibri Light" w:hAnsi="Calibri Light" w:cs="Calibri Light"/>
          <w:i/>
          <w:sz w:val="24"/>
          <w:szCs w:val="24"/>
          <w:lang w:val="en-US" w:eastAsia="en-AU"/>
        </w:rPr>
        <w:t>Education and Training Reform Regulations 2007</w:t>
      </w:r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 xml:space="preserve">, the members of the school community may undertake fundraising activities, having as their objective the establishment or augmentation of school funds for a </w:t>
      </w:r>
      <w:proofErr w:type="gramStart"/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>particular purpose</w:t>
      </w:r>
      <w:proofErr w:type="gramEnd"/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>, if the agreement of the Council is obtained.</w:t>
      </w:r>
    </w:p>
    <w:p w:rsidR="00EB221C" w:rsidRPr="00A51D80" w:rsidRDefault="00EB221C" w:rsidP="00027DF5">
      <w:pPr>
        <w:pStyle w:val="NoSpacing"/>
        <w:numPr>
          <w:ilvl w:val="0"/>
          <w:numId w:val="43"/>
        </w:numPr>
        <w:ind w:left="567" w:right="-46"/>
        <w:jc w:val="both"/>
        <w:rPr>
          <w:rFonts w:ascii="Calibri Light" w:hAnsi="Calibri Light" w:cs="Calibri Light"/>
          <w:sz w:val="24"/>
          <w:szCs w:val="24"/>
          <w:lang w:val="en-US" w:eastAsia="en-AU"/>
        </w:rPr>
      </w:pPr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>Fundraising contributes to the school’s ability to provide a diverse range of quality programs</w:t>
      </w:r>
      <w:r w:rsidR="008F78C7" w:rsidRPr="00A51D80">
        <w:rPr>
          <w:rFonts w:ascii="Calibri Light" w:hAnsi="Calibri Light" w:cs="Calibri Light"/>
          <w:sz w:val="24"/>
          <w:szCs w:val="24"/>
          <w:lang w:val="en-US" w:eastAsia="en-AU"/>
        </w:rPr>
        <w:t xml:space="preserve"> for our students</w:t>
      </w:r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>.</w:t>
      </w:r>
    </w:p>
    <w:p w:rsidR="00EB221C" w:rsidRPr="00A51D80" w:rsidRDefault="00EB221C" w:rsidP="00027DF5">
      <w:pPr>
        <w:pStyle w:val="NoSpacing"/>
        <w:ind w:left="567" w:right="-46" w:hanging="567"/>
        <w:jc w:val="both"/>
        <w:rPr>
          <w:rFonts w:ascii="Calibri Light" w:hAnsi="Calibri Light" w:cs="Calibri Light"/>
          <w:sz w:val="24"/>
          <w:szCs w:val="24"/>
          <w:lang w:val="en-US" w:eastAsia="en-AU"/>
        </w:rPr>
      </w:pPr>
    </w:p>
    <w:p w:rsidR="00EB221C" w:rsidRPr="00A51D80" w:rsidRDefault="00A51D80" w:rsidP="00027DF5">
      <w:pPr>
        <w:pStyle w:val="NoSpacing"/>
        <w:ind w:left="567" w:right="-46" w:hanging="567"/>
        <w:jc w:val="both"/>
        <w:rPr>
          <w:rFonts w:ascii="Calibri Light" w:hAnsi="Calibri Light" w:cs="Calibri Light"/>
          <w:sz w:val="24"/>
          <w:szCs w:val="24"/>
          <w:u w:val="single"/>
          <w:lang w:val="en-US" w:eastAsia="en-AU"/>
        </w:rPr>
      </w:pPr>
      <w:r w:rsidRPr="00A51D80">
        <w:rPr>
          <w:rFonts w:ascii="Calibri Light" w:hAnsi="Calibri Light" w:cs="Calibri Light"/>
          <w:sz w:val="24"/>
          <w:szCs w:val="24"/>
          <w:u w:val="single"/>
          <w:lang w:val="en-US" w:eastAsia="en-AU"/>
        </w:rPr>
        <w:t>PURPOSE</w:t>
      </w:r>
    </w:p>
    <w:p w:rsidR="00EB221C" w:rsidRPr="00A51D80" w:rsidRDefault="00EB221C" w:rsidP="00027DF5">
      <w:pPr>
        <w:pStyle w:val="NoSpacing"/>
        <w:numPr>
          <w:ilvl w:val="0"/>
          <w:numId w:val="43"/>
        </w:numPr>
        <w:ind w:left="567" w:right="-46"/>
        <w:jc w:val="both"/>
        <w:rPr>
          <w:rFonts w:ascii="Calibri Light" w:hAnsi="Calibri Light" w:cs="Calibri Light"/>
          <w:sz w:val="24"/>
          <w:szCs w:val="24"/>
          <w:lang w:val="en-US" w:eastAsia="en-AU"/>
        </w:rPr>
      </w:pPr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 xml:space="preserve">To ensure that </w:t>
      </w:r>
      <w:r w:rsidR="001D1F7D" w:rsidRPr="00A51D80">
        <w:rPr>
          <w:rFonts w:ascii="Calibri Light" w:hAnsi="Calibri Light" w:cs="Calibri Light"/>
          <w:sz w:val="24"/>
          <w:szCs w:val="24"/>
          <w:lang w:val="en-US" w:eastAsia="en-AU"/>
        </w:rPr>
        <w:t>Charles La Trobe College</w:t>
      </w:r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 xml:space="preserve"> conducts fund raising activities within DET guidelines.</w:t>
      </w:r>
    </w:p>
    <w:p w:rsidR="008F78C7" w:rsidRPr="00A51D80" w:rsidRDefault="008F78C7" w:rsidP="00027DF5">
      <w:pPr>
        <w:pStyle w:val="NoSpacing"/>
        <w:numPr>
          <w:ilvl w:val="0"/>
          <w:numId w:val="43"/>
        </w:numPr>
        <w:ind w:left="567" w:right="-46"/>
        <w:jc w:val="both"/>
        <w:rPr>
          <w:rFonts w:ascii="Calibri Light" w:hAnsi="Calibri Light" w:cs="Calibri Light"/>
          <w:sz w:val="24"/>
          <w:szCs w:val="24"/>
          <w:lang w:val="en-US" w:eastAsia="en-AU"/>
        </w:rPr>
      </w:pPr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>To raise sufficient funds to achieve the educational goals of the College.</w:t>
      </w:r>
    </w:p>
    <w:p w:rsidR="00EB221C" w:rsidRPr="00A51D80" w:rsidRDefault="00EB221C" w:rsidP="00027DF5">
      <w:pPr>
        <w:pStyle w:val="NoSpacing"/>
        <w:ind w:left="567" w:right="-46" w:hanging="567"/>
        <w:jc w:val="both"/>
        <w:rPr>
          <w:rFonts w:ascii="Calibri Light" w:hAnsi="Calibri Light" w:cs="Calibri Light"/>
          <w:sz w:val="24"/>
          <w:szCs w:val="24"/>
          <w:lang w:val="en-US"/>
        </w:rPr>
      </w:pPr>
    </w:p>
    <w:p w:rsidR="00A51D80" w:rsidRPr="00A51D80" w:rsidRDefault="00A51D80" w:rsidP="00027DF5">
      <w:pPr>
        <w:pStyle w:val="NoSpacing"/>
        <w:ind w:left="567" w:right="-46" w:hanging="567"/>
        <w:jc w:val="both"/>
        <w:rPr>
          <w:rFonts w:ascii="Calibri Light" w:hAnsi="Calibri Light" w:cs="Calibri Light"/>
          <w:sz w:val="24"/>
          <w:szCs w:val="24"/>
          <w:u w:val="single"/>
          <w:lang w:val="en-US" w:eastAsia="en-AU"/>
        </w:rPr>
      </w:pPr>
      <w:r w:rsidRPr="00A51D80">
        <w:rPr>
          <w:rFonts w:ascii="Calibri Light" w:hAnsi="Calibri Light" w:cs="Calibri Light"/>
          <w:sz w:val="24"/>
          <w:szCs w:val="24"/>
          <w:u w:val="single"/>
          <w:lang w:val="en-US" w:eastAsia="en-AU"/>
        </w:rPr>
        <w:t>IMPLEMENTATION</w:t>
      </w:r>
    </w:p>
    <w:p w:rsidR="00EB221C" w:rsidRPr="00A51D80" w:rsidRDefault="001D1F7D" w:rsidP="00027DF5">
      <w:pPr>
        <w:pStyle w:val="NoSpacing"/>
        <w:ind w:left="567" w:right="-46" w:hanging="567"/>
        <w:jc w:val="both"/>
        <w:rPr>
          <w:rFonts w:ascii="Calibri Light" w:hAnsi="Calibri Light" w:cs="Calibri Light"/>
          <w:sz w:val="24"/>
          <w:szCs w:val="24"/>
          <w:u w:val="single"/>
          <w:lang w:val="en-US" w:eastAsia="en-AU"/>
        </w:rPr>
      </w:pPr>
      <w:r w:rsidRPr="00A51D80">
        <w:rPr>
          <w:rFonts w:ascii="Calibri Light" w:hAnsi="Calibri Light" w:cs="Calibri Light"/>
          <w:sz w:val="24"/>
          <w:szCs w:val="24"/>
          <w:lang w:val="en-US"/>
        </w:rPr>
        <w:t>The College</w:t>
      </w:r>
      <w:r w:rsidR="00EB221C" w:rsidRPr="00A51D80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r w:rsidR="00EB221C" w:rsidRPr="00A51D80">
        <w:rPr>
          <w:rFonts w:ascii="Calibri Light" w:hAnsi="Calibri Light" w:cs="Calibri Light"/>
          <w:color w:val="000000"/>
          <w:sz w:val="24"/>
          <w:szCs w:val="24"/>
          <w:lang w:eastAsia="en-AU"/>
        </w:rPr>
        <w:t xml:space="preserve">has the authority to engage in any of the following </w:t>
      </w:r>
      <w:proofErr w:type="gramStart"/>
      <w:r w:rsidR="00EB221C" w:rsidRPr="00A51D80">
        <w:rPr>
          <w:rFonts w:ascii="Calibri Light" w:hAnsi="Calibri Light" w:cs="Calibri Light"/>
          <w:color w:val="000000"/>
          <w:sz w:val="24"/>
          <w:szCs w:val="24"/>
          <w:lang w:eastAsia="en-AU"/>
        </w:rPr>
        <w:t>fund raising</w:t>
      </w:r>
      <w:proofErr w:type="gramEnd"/>
      <w:r w:rsidR="00EB221C" w:rsidRPr="00A51D80">
        <w:rPr>
          <w:rFonts w:ascii="Calibri Light" w:hAnsi="Calibri Light" w:cs="Calibri Light"/>
          <w:color w:val="000000"/>
          <w:sz w:val="24"/>
          <w:szCs w:val="24"/>
          <w:lang w:eastAsia="en-AU"/>
        </w:rPr>
        <w:t xml:space="preserve"> activities: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38"/>
        <w:gridCol w:w="6653"/>
      </w:tblGrid>
      <w:tr w:rsidR="00EB221C" w:rsidRPr="00A51D80" w:rsidTr="00A51D80">
        <w:tc>
          <w:tcPr>
            <w:tcW w:w="2665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273" w:right="-46"/>
              <w:jc w:val="center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Cooperatives</w:t>
            </w:r>
          </w:p>
        </w:tc>
        <w:tc>
          <w:tcPr>
            <w:tcW w:w="6691" w:type="dxa"/>
            <w:gridSpan w:val="2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 xml:space="preserve">School Council does not have the authority to borrow </w:t>
            </w:r>
            <w:proofErr w:type="gramStart"/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money</w:t>
            </w:r>
            <w:proofErr w:type="gramEnd"/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 xml:space="preserve"> but school communities may raise loans through a cooperative for school projects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 xml:space="preserve">A report must be prepared each </w:t>
            </w:r>
            <w:proofErr w:type="gramStart"/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financial year</w:t>
            </w:r>
            <w:proofErr w:type="gramEnd"/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 xml:space="preserve"> and forwarded to the Registrar of Cooperatives, Department of Justice and Consumer Affairs.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Contact</w:t>
            </w:r>
            <w:r w:rsidRPr="00A51D80">
              <w:rPr>
                <w:rFonts w:ascii="Calibri Light" w:hAnsi="Calibri Light" w:cs="Calibri Light"/>
                <w:b/>
                <w:bCs/>
                <w:szCs w:val="24"/>
                <w:lang w:eastAsia="en-AU"/>
              </w:rPr>
              <w:t>:</w:t>
            </w: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 xml:space="preserve"> The Cooperatives Advisor at </w:t>
            </w:r>
            <w:hyperlink r:id="rId7" w:history="1">
              <w:r w:rsidRPr="00A51D80">
                <w:rPr>
                  <w:rFonts w:ascii="Calibri Light" w:hAnsi="Calibri Light" w:cs="Calibri Light"/>
                  <w:color w:val="0072BC"/>
                  <w:szCs w:val="24"/>
                  <w:lang w:eastAsia="en-AU"/>
                </w:rPr>
                <w:t>http://www.consumer.vic.gov.au/</w:t>
              </w:r>
            </w:hyperlink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.  A kit about cooperatives is available from the Registrar of Cooperatives, PO Box 4567, Melbourne 3001.</w:t>
            </w:r>
          </w:p>
        </w:tc>
      </w:tr>
      <w:tr w:rsidR="00EB221C" w:rsidRPr="00A51D80" w:rsidTr="00A51D80">
        <w:tc>
          <w:tcPr>
            <w:tcW w:w="2665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273" w:right="-46"/>
              <w:jc w:val="center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Donations</w:t>
            </w:r>
          </w:p>
        </w:tc>
        <w:tc>
          <w:tcPr>
            <w:tcW w:w="6691" w:type="dxa"/>
            <w:gridSpan w:val="2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School Councils may: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apply to the Australian Taxation Office (ATO) to have a donation recognised as tax deductible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only advise donors that a donation is tax deductible when they receive ATO approval and must issue tax deductible receipts to donors.</w:t>
            </w:r>
          </w:p>
        </w:tc>
      </w:tr>
      <w:tr w:rsidR="00EB221C" w:rsidRPr="00A51D80" w:rsidTr="00A51D80">
        <w:tc>
          <w:tcPr>
            <w:tcW w:w="2665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273" w:right="-46"/>
              <w:jc w:val="center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Fund Raising for Charitable Causes</w:t>
            </w:r>
          </w:p>
        </w:tc>
        <w:tc>
          <w:tcPr>
            <w:tcW w:w="6691" w:type="dxa"/>
            <w:gridSpan w:val="2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School Councils should seek written advice from organisations promoting fundraising activities on the percentage of funds raised that are directed to the named charity. Schools: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may support charitable appeals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should consider whether the methods used to raise funds for any specific appeal are appropriate.</w:t>
            </w:r>
          </w:p>
        </w:tc>
      </w:tr>
      <w:tr w:rsidR="00EB221C" w:rsidRPr="00A51D80" w:rsidTr="00A51D80">
        <w:tc>
          <w:tcPr>
            <w:tcW w:w="2665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273" w:right="-46"/>
              <w:jc w:val="center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Hire of School Facilities</w:t>
            </w:r>
          </w:p>
        </w:tc>
        <w:tc>
          <w:tcPr>
            <w:tcW w:w="6691" w:type="dxa"/>
            <w:gridSpan w:val="2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School Councils: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may allow the use of school facilities by outside bodies when the facilities are not required for school purposes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is responsible for establishing the terms and conditions of use.</w:t>
            </w:r>
          </w:p>
        </w:tc>
      </w:tr>
      <w:tr w:rsidR="00EB221C" w:rsidRPr="00A51D80" w:rsidTr="00A51D80">
        <w:tc>
          <w:tcPr>
            <w:tcW w:w="2665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273" w:right="-46"/>
              <w:jc w:val="center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Leasing of Space for Advertising</w:t>
            </w:r>
          </w:p>
        </w:tc>
        <w:tc>
          <w:tcPr>
            <w:tcW w:w="6691" w:type="dxa"/>
            <w:gridSpan w:val="2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 xml:space="preserve">For information, please refer to: </w:t>
            </w:r>
            <w:r w:rsidRPr="00A51D80">
              <w:rPr>
                <w:rFonts w:ascii="Calibri Light" w:hAnsi="Calibri Light" w:cs="Calibri Light"/>
                <w:color w:val="2F5496" w:themeColor="accent5" w:themeShade="BF"/>
                <w:szCs w:val="24"/>
                <w:lang w:eastAsia="en-AU"/>
              </w:rPr>
              <w:t xml:space="preserve">Advertising on school sites </w:t>
            </w: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(site locked)</w:t>
            </w:r>
          </w:p>
        </w:tc>
      </w:tr>
      <w:tr w:rsidR="00EB221C" w:rsidRPr="00A51D80" w:rsidTr="00A51D80">
        <w:tc>
          <w:tcPr>
            <w:tcW w:w="2665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273" w:right="-46"/>
              <w:jc w:val="center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Other Sources</w:t>
            </w:r>
          </w:p>
        </w:tc>
        <w:tc>
          <w:tcPr>
            <w:tcW w:w="6691" w:type="dxa"/>
            <w:gridSpan w:val="2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Other sources of financial assistance may be: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local government councils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service clubs, such as Apex, Lions and Rotary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businesses and community groups.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philanthropic trusts with an interest in supporting educational projects.</w:t>
            </w:r>
          </w:p>
        </w:tc>
      </w:tr>
      <w:tr w:rsidR="00EB221C" w:rsidRPr="00A51D80" w:rsidTr="00A51D80">
        <w:tc>
          <w:tcPr>
            <w:tcW w:w="2703" w:type="dxa"/>
            <w:gridSpan w:val="2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273" w:right="-46"/>
              <w:jc w:val="center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lastRenderedPageBreak/>
              <w:t>Tuition Fees for Evening Classes</w:t>
            </w:r>
          </w:p>
        </w:tc>
        <w:tc>
          <w:tcPr>
            <w:tcW w:w="6653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Tuition fees may be charged to students attending evening classes at secondary schools for extra-curricular subjects and: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all tuition fees received are retained by the school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School Councils may add a service fee to any approved tuition fee.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Tuition fees are not to be charged for: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evening classes in academic, bridging or preparatory classes.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a student in full-time attendance at a government school who is enrolled in a night class with the approval of the Regional Director.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a teacher in a government school undertaking professional studies for teaching purposes in any class not reimbursed by the Department.</w:t>
            </w:r>
          </w:p>
        </w:tc>
      </w:tr>
      <w:tr w:rsidR="00EB221C" w:rsidRPr="00A51D80" w:rsidTr="00A51D80">
        <w:tc>
          <w:tcPr>
            <w:tcW w:w="2703" w:type="dxa"/>
            <w:gridSpan w:val="2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273" w:right="-46"/>
              <w:jc w:val="center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Raffles and Bingo</w:t>
            </w:r>
          </w:p>
        </w:tc>
        <w:tc>
          <w:tcPr>
            <w:tcW w:w="6653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Schools: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must obtain permission and instructions from the Victorian Commission for Gambling Registration before conducting a raffle or bingo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should seek advice from Consumer Affairs Victoria before undertaking any activities involving the consumption or sale of alcohol.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need to be aware of both the Liquor Control Reform Act 1998 and the Gambling Regulations Act 2003, if the school is considering using liquor as a prize.</w:t>
            </w:r>
          </w:p>
        </w:tc>
      </w:tr>
      <w:tr w:rsidR="00EB221C" w:rsidRPr="00A51D80" w:rsidTr="00A51D80">
        <w:tc>
          <w:tcPr>
            <w:tcW w:w="2703" w:type="dxa"/>
            <w:gridSpan w:val="2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</w:tcPr>
          <w:p w:rsidR="00EB221C" w:rsidRPr="00A51D80" w:rsidRDefault="00EB221C" w:rsidP="00027DF5">
            <w:pPr>
              <w:pStyle w:val="NoSpacing"/>
              <w:ind w:left="273" w:right="-46"/>
              <w:jc w:val="center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Sponsorship and Promotions</w:t>
            </w:r>
          </w:p>
        </w:tc>
        <w:tc>
          <w:tcPr>
            <w:tcW w:w="6653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</w:tcPr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 xml:space="preserve">School Councils 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must not enter into sponsorship arrangements with organisations involved with tobacco or alcohol</w:t>
            </w:r>
          </w:p>
          <w:p w:rsidR="00EB221C" w:rsidRPr="00A51D80" w:rsidRDefault="00EB221C" w:rsidP="00027DF5">
            <w:pPr>
              <w:pStyle w:val="NoSpacing"/>
              <w:ind w:left="152" w:right="-46"/>
              <w:rPr>
                <w:rFonts w:ascii="Calibri Light" w:hAnsi="Calibri Light" w:cs="Calibri Light"/>
                <w:szCs w:val="24"/>
                <w:lang w:eastAsia="en-AU"/>
              </w:rPr>
            </w:pPr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 xml:space="preserve">should </w:t>
            </w:r>
            <w:proofErr w:type="gramStart"/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>take into account</w:t>
            </w:r>
            <w:proofErr w:type="gramEnd"/>
            <w:r w:rsidRPr="00A51D80">
              <w:rPr>
                <w:rFonts w:ascii="Calibri Light" w:hAnsi="Calibri Light" w:cs="Calibri Light"/>
                <w:szCs w:val="24"/>
                <w:lang w:eastAsia="en-AU"/>
              </w:rPr>
              <w:t xml:space="preserve"> the views and values of the school community, the school’s strategic plan and the educational value of any activities directly involving students in fundraising</w:t>
            </w:r>
          </w:p>
        </w:tc>
      </w:tr>
    </w:tbl>
    <w:p w:rsidR="00EB221C" w:rsidRPr="00A51D80" w:rsidRDefault="00EB221C" w:rsidP="00027DF5">
      <w:pPr>
        <w:pStyle w:val="ListParagraph"/>
        <w:tabs>
          <w:tab w:val="left" w:pos="709"/>
        </w:tabs>
        <w:ind w:left="567" w:right="-46" w:hanging="567"/>
        <w:jc w:val="both"/>
        <w:rPr>
          <w:rFonts w:ascii="Calibri Light" w:hAnsi="Calibri Light" w:cs="Calibri Light"/>
        </w:rPr>
      </w:pPr>
    </w:p>
    <w:p w:rsidR="00EB221C" w:rsidRPr="00A51D80" w:rsidRDefault="00EB221C" w:rsidP="00027DF5">
      <w:pPr>
        <w:pStyle w:val="NoSpacing"/>
        <w:numPr>
          <w:ilvl w:val="0"/>
          <w:numId w:val="43"/>
        </w:numPr>
        <w:ind w:left="567" w:right="-46"/>
        <w:jc w:val="both"/>
        <w:rPr>
          <w:rFonts w:ascii="Calibri Light" w:hAnsi="Calibri Light" w:cs="Calibri Light"/>
          <w:sz w:val="24"/>
          <w:szCs w:val="24"/>
          <w:lang w:val="en-US" w:eastAsia="en-AU"/>
        </w:rPr>
      </w:pPr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>Funds raised by members of the school community will be in accordance with the Regulations.</w:t>
      </w:r>
    </w:p>
    <w:p w:rsidR="00EB221C" w:rsidRPr="00A51D80" w:rsidRDefault="00EB221C" w:rsidP="00027DF5">
      <w:pPr>
        <w:pStyle w:val="NoSpacing"/>
        <w:numPr>
          <w:ilvl w:val="0"/>
          <w:numId w:val="43"/>
        </w:numPr>
        <w:ind w:left="567" w:right="-46"/>
        <w:jc w:val="both"/>
        <w:rPr>
          <w:rFonts w:ascii="Calibri Light" w:hAnsi="Calibri Light" w:cs="Calibri Light"/>
          <w:sz w:val="24"/>
          <w:szCs w:val="24"/>
          <w:lang w:val="en-US" w:eastAsia="en-AU"/>
        </w:rPr>
      </w:pPr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>A petty cash advance may be obtained for the activity.</w:t>
      </w:r>
    </w:p>
    <w:p w:rsidR="00EB221C" w:rsidRPr="00A51D80" w:rsidRDefault="00FA3729" w:rsidP="00027DF5">
      <w:pPr>
        <w:pStyle w:val="NoSpacing"/>
        <w:numPr>
          <w:ilvl w:val="0"/>
          <w:numId w:val="43"/>
        </w:numPr>
        <w:ind w:left="567" w:right="-46"/>
        <w:jc w:val="both"/>
        <w:rPr>
          <w:rFonts w:ascii="Calibri Light" w:hAnsi="Calibri Light" w:cs="Calibri Light"/>
          <w:sz w:val="24"/>
          <w:szCs w:val="24"/>
          <w:lang w:val="en-US" w:eastAsia="en-AU"/>
        </w:rPr>
      </w:pPr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 xml:space="preserve">The </w:t>
      </w:r>
      <w:r w:rsidR="00EB221C" w:rsidRPr="00A51D80">
        <w:rPr>
          <w:rFonts w:ascii="Calibri Light" w:hAnsi="Calibri Light" w:cs="Calibri Light"/>
          <w:sz w:val="24"/>
          <w:szCs w:val="24"/>
          <w:lang w:val="en-US" w:eastAsia="en-AU"/>
        </w:rPr>
        <w:t xml:space="preserve">Council will cooperate with the Parents’ Club or similar in planning and conducting </w:t>
      </w:r>
      <w:proofErr w:type="gramStart"/>
      <w:r w:rsidR="00EB221C" w:rsidRPr="00A51D80">
        <w:rPr>
          <w:rFonts w:ascii="Calibri Light" w:hAnsi="Calibri Light" w:cs="Calibri Light"/>
          <w:sz w:val="24"/>
          <w:szCs w:val="24"/>
          <w:lang w:val="en-US" w:eastAsia="en-AU"/>
        </w:rPr>
        <w:t>fund  raising</w:t>
      </w:r>
      <w:proofErr w:type="gramEnd"/>
      <w:r w:rsidR="00EB221C" w:rsidRPr="00A51D80">
        <w:rPr>
          <w:rFonts w:ascii="Calibri Light" w:hAnsi="Calibri Light" w:cs="Calibri Light"/>
          <w:sz w:val="24"/>
          <w:szCs w:val="24"/>
          <w:lang w:val="en-US" w:eastAsia="en-AU"/>
        </w:rPr>
        <w:t xml:space="preserve"> activities.</w:t>
      </w:r>
    </w:p>
    <w:p w:rsidR="00EB221C" w:rsidRPr="00A51D80" w:rsidRDefault="00EB221C" w:rsidP="00027DF5">
      <w:pPr>
        <w:pStyle w:val="NoSpacing"/>
        <w:numPr>
          <w:ilvl w:val="0"/>
          <w:numId w:val="43"/>
        </w:numPr>
        <w:ind w:left="567" w:right="-46"/>
        <w:jc w:val="both"/>
        <w:rPr>
          <w:rFonts w:ascii="Calibri Light" w:hAnsi="Calibri Light" w:cs="Calibri Light"/>
          <w:sz w:val="24"/>
          <w:szCs w:val="24"/>
          <w:lang w:val="en-US" w:eastAsia="en-AU"/>
        </w:rPr>
      </w:pPr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>For further information about gaming, the school will contact the</w:t>
      </w:r>
    </w:p>
    <w:p w:rsidR="00EB221C" w:rsidRPr="00A51D80" w:rsidRDefault="00EB221C" w:rsidP="00027DF5">
      <w:pPr>
        <w:pStyle w:val="NoSpacing"/>
        <w:ind w:left="567" w:right="-46"/>
        <w:jc w:val="both"/>
        <w:rPr>
          <w:rFonts w:ascii="Calibri Light" w:hAnsi="Calibri Light" w:cs="Calibri Light"/>
          <w:sz w:val="24"/>
          <w:szCs w:val="24"/>
          <w:lang w:val="en-US" w:eastAsia="en-AU"/>
        </w:rPr>
      </w:pPr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>Victorian Commission for Gambling Regulation</w:t>
      </w:r>
    </w:p>
    <w:p w:rsidR="00EB221C" w:rsidRPr="00A51D80" w:rsidRDefault="00EB221C" w:rsidP="00027DF5">
      <w:pPr>
        <w:pStyle w:val="NoSpacing"/>
        <w:ind w:left="567" w:right="-46"/>
        <w:jc w:val="both"/>
        <w:rPr>
          <w:rFonts w:ascii="Calibri Light" w:hAnsi="Calibri Light" w:cs="Calibri Light"/>
          <w:sz w:val="24"/>
          <w:szCs w:val="24"/>
          <w:lang w:val="en-US" w:eastAsia="en-AU"/>
        </w:rPr>
      </w:pPr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 xml:space="preserve">PO Box 1988, Melbourne 3001 </w:t>
      </w:r>
    </w:p>
    <w:p w:rsidR="00EB221C" w:rsidRPr="00A51D80" w:rsidRDefault="00EB221C" w:rsidP="00027DF5">
      <w:pPr>
        <w:pStyle w:val="NoSpacing"/>
        <w:ind w:left="567" w:right="-46"/>
        <w:jc w:val="both"/>
        <w:rPr>
          <w:rFonts w:ascii="Calibri Light" w:hAnsi="Calibri Light" w:cs="Calibri Light"/>
          <w:sz w:val="24"/>
          <w:szCs w:val="24"/>
          <w:lang w:val="en-US" w:eastAsia="en-AU"/>
        </w:rPr>
      </w:pPr>
      <w:r w:rsidRPr="00A51D80">
        <w:rPr>
          <w:rFonts w:ascii="Calibri Light" w:hAnsi="Calibri Light" w:cs="Calibri Light"/>
          <w:sz w:val="24"/>
          <w:szCs w:val="24"/>
          <w:lang w:val="en-US" w:eastAsia="en-AU"/>
        </w:rPr>
        <w:t>Telephone: 9651-3333</w:t>
      </w:r>
    </w:p>
    <w:p w:rsidR="00EB221C" w:rsidRDefault="003F0A5A" w:rsidP="00027DF5">
      <w:pPr>
        <w:pStyle w:val="ListParagraph"/>
        <w:tabs>
          <w:tab w:val="left" w:pos="1134"/>
        </w:tabs>
        <w:ind w:left="1134" w:right="-46" w:hanging="567"/>
        <w:jc w:val="both"/>
        <w:rPr>
          <w:rFonts w:ascii="Calibri Light" w:hAnsi="Calibri Light" w:cs="Calibri Light"/>
        </w:rPr>
      </w:pPr>
      <w:hyperlink r:id="rId8" w:history="1">
        <w:r w:rsidR="00EB221C" w:rsidRPr="00A51D80">
          <w:rPr>
            <w:rStyle w:val="Hyperlink"/>
            <w:rFonts w:ascii="Calibri Light" w:hAnsi="Calibri Light" w:cs="Calibri Light"/>
          </w:rPr>
          <w:t>www.vcgr.vic.gov.au</w:t>
        </w:r>
      </w:hyperlink>
    </w:p>
    <w:p w:rsidR="00A51D80" w:rsidRPr="00A51D80" w:rsidRDefault="00A51D80" w:rsidP="00027DF5">
      <w:pPr>
        <w:pStyle w:val="ListParagraph"/>
        <w:tabs>
          <w:tab w:val="left" w:pos="1134"/>
        </w:tabs>
        <w:ind w:left="1134" w:right="-46" w:hanging="567"/>
        <w:jc w:val="both"/>
        <w:rPr>
          <w:rFonts w:ascii="Calibri Light" w:hAnsi="Calibri Light" w:cs="Calibri Light"/>
        </w:rPr>
      </w:pPr>
    </w:p>
    <w:p w:rsidR="008F78C7" w:rsidRPr="00A51D80" w:rsidRDefault="008F78C7" w:rsidP="00027DF5">
      <w:pPr>
        <w:pStyle w:val="NoSpacing"/>
        <w:numPr>
          <w:ilvl w:val="0"/>
          <w:numId w:val="43"/>
        </w:numPr>
        <w:ind w:left="567" w:right="-46"/>
        <w:jc w:val="both"/>
        <w:rPr>
          <w:rFonts w:ascii="Calibri Light" w:hAnsi="Calibri Light" w:cs="Calibri Light"/>
          <w:sz w:val="24"/>
          <w:szCs w:val="24"/>
        </w:rPr>
      </w:pPr>
      <w:r w:rsidRPr="00A51D80">
        <w:rPr>
          <w:rFonts w:ascii="Calibri Light" w:hAnsi="Calibri Light" w:cs="Calibri Light"/>
          <w:sz w:val="24"/>
          <w:szCs w:val="24"/>
        </w:rPr>
        <w:t xml:space="preserve">Please refer also to the school’s </w:t>
      </w:r>
      <w:r w:rsidRPr="00A51D80">
        <w:rPr>
          <w:rFonts w:ascii="Calibri Light" w:hAnsi="Calibri Light" w:cs="Calibri Light"/>
          <w:i/>
          <w:sz w:val="24"/>
          <w:szCs w:val="24"/>
        </w:rPr>
        <w:t>Hire of Facilities Policy, Smoking Ban Policy, Sponsorship Policy</w:t>
      </w:r>
      <w:r w:rsidRPr="00A51D80">
        <w:rPr>
          <w:rFonts w:ascii="Calibri Light" w:hAnsi="Calibri Light" w:cs="Calibri Light"/>
          <w:sz w:val="24"/>
          <w:szCs w:val="24"/>
        </w:rPr>
        <w:t xml:space="preserve">, the </w:t>
      </w:r>
      <w:r w:rsidRPr="00A51D80">
        <w:rPr>
          <w:rFonts w:ascii="Calibri Light" w:hAnsi="Calibri Light" w:cs="Calibri Light"/>
          <w:i/>
          <w:sz w:val="24"/>
          <w:szCs w:val="24"/>
        </w:rPr>
        <w:t>Fraud &amp; Corruption Policy, Parent Payments Policy</w:t>
      </w:r>
      <w:r w:rsidRPr="00A51D80">
        <w:rPr>
          <w:rFonts w:ascii="Calibri Light" w:hAnsi="Calibri Light" w:cs="Calibri Light"/>
          <w:sz w:val="24"/>
          <w:szCs w:val="24"/>
        </w:rPr>
        <w:t xml:space="preserve"> and </w:t>
      </w:r>
      <w:proofErr w:type="gramStart"/>
      <w:r w:rsidRPr="00A51D80">
        <w:rPr>
          <w:rFonts w:ascii="Calibri Light" w:hAnsi="Calibri Light" w:cs="Calibri Light"/>
          <w:sz w:val="24"/>
          <w:szCs w:val="24"/>
        </w:rPr>
        <w:t>financial management</w:t>
      </w:r>
      <w:proofErr w:type="gramEnd"/>
      <w:r w:rsidRPr="00A51D80">
        <w:rPr>
          <w:rFonts w:ascii="Calibri Light" w:hAnsi="Calibri Light" w:cs="Calibri Light"/>
          <w:sz w:val="24"/>
          <w:szCs w:val="24"/>
        </w:rPr>
        <w:t xml:space="preserve"> documents such as the </w:t>
      </w:r>
      <w:r w:rsidRPr="00A51D80">
        <w:rPr>
          <w:rFonts w:ascii="Calibri Light" w:hAnsi="Calibri Light" w:cs="Calibri Light"/>
          <w:i/>
          <w:sz w:val="24"/>
          <w:szCs w:val="24"/>
        </w:rPr>
        <w:t>Cash Handling Policy</w:t>
      </w:r>
      <w:r w:rsidRPr="00A51D80">
        <w:rPr>
          <w:rFonts w:ascii="Calibri Light" w:hAnsi="Calibri Light" w:cs="Calibri Light"/>
          <w:sz w:val="24"/>
          <w:szCs w:val="24"/>
        </w:rPr>
        <w:t xml:space="preserve">. </w:t>
      </w:r>
    </w:p>
    <w:p w:rsidR="008F78C7" w:rsidRPr="00A51D80" w:rsidRDefault="008F78C7" w:rsidP="00027DF5">
      <w:pPr>
        <w:pStyle w:val="Default"/>
        <w:ind w:left="567" w:right="-46" w:hanging="567"/>
        <w:rPr>
          <w:rFonts w:ascii="Calibri Light" w:hAnsi="Calibri Light" w:cs="Calibri Light"/>
          <w:b/>
          <w:bCs/>
          <w:u w:val="single"/>
        </w:rPr>
      </w:pPr>
    </w:p>
    <w:p w:rsidR="00EB221C" w:rsidRPr="00A51D80" w:rsidRDefault="00A51D80" w:rsidP="00027DF5">
      <w:pPr>
        <w:pStyle w:val="Default"/>
        <w:ind w:left="567" w:right="-46" w:hanging="567"/>
        <w:rPr>
          <w:rFonts w:ascii="Calibri Light" w:hAnsi="Calibri Light" w:cs="Calibri Light"/>
          <w:u w:val="single"/>
        </w:rPr>
      </w:pPr>
      <w:r w:rsidRPr="00A51D80">
        <w:rPr>
          <w:rFonts w:ascii="Calibri Light" w:hAnsi="Calibri Light" w:cs="Calibri Light"/>
          <w:bCs/>
          <w:u w:val="single"/>
        </w:rPr>
        <w:t>EVALUATION</w:t>
      </w:r>
    </w:p>
    <w:p w:rsidR="00EB221C" w:rsidRPr="00A51D80" w:rsidRDefault="00EB221C" w:rsidP="00027DF5">
      <w:pPr>
        <w:spacing w:after="200" w:line="276" w:lineRule="auto"/>
        <w:ind w:right="-46"/>
        <w:jc w:val="both"/>
        <w:rPr>
          <w:rFonts w:ascii="Calibri Light" w:hAnsi="Calibri Light" w:cs="Calibri Light"/>
          <w:b/>
          <w:u w:val="single"/>
        </w:rPr>
      </w:pPr>
      <w:r w:rsidRPr="00A51D80">
        <w:rPr>
          <w:rFonts w:ascii="Calibri Light" w:hAnsi="Calibri Light" w:cs="Calibri Light"/>
        </w:rPr>
        <w:t>This policy will be reviewed as part of the school’s three-year review cycle or when guidelines change (latest DET update late June 2016).</w:t>
      </w:r>
    </w:p>
    <w:p w:rsidR="00A51D80" w:rsidRPr="00A51D80" w:rsidRDefault="00A51D80" w:rsidP="00027DF5">
      <w:pPr>
        <w:pStyle w:val="Default"/>
        <w:ind w:left="567" w:right="-46" w:hanging="567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bCs/>
          <w:u w:val="single"/>
        </w:rPr>
        <w:lastRenderedPageBreak/>
        <w:t>RATIFICATION</w:t>
      </w:r>
    </w:p>
    <w:p w:rsidR="00EB221C" w:rsidRPr="00A51D80" w:rsidRDefault="00EB221C" w:rsidP="00027DF5">
      <w:pPr>
        <w:tabs>
          <w:tab w:val="left" w:pos="709"/>
        </w:tabs>
        <w:ind w:right="-46"/>
        <w:rPr>
          <w:rFonts w:ascii="Calibri Light" w:hAnsi="Calibri Light" w:cs="Calibri Light"/>
          <w:sz w:val="24"/>
          <w:szCs w:val="24"/>
        </w:rPr>
      </w:pPr>
      <w:r w:rsidRPr="00A51D80">
        <w:rPr>
          <w:rFonts w:ascii="Calibri Light" w:hAnsi="Calibri Light" w:cs="Calibri Light"/>
          <w:sz w:val="24"/>
          <w:szCs w:val="24"/>
        </w:rPr>
        <w:t xml:space="preserve">This </w:t>
      </w:r>
      <w:r w:rsidR="001D1F7D" w:rsidRPr="00A51D80">
        <w:rPr>
          <w:rFonts w:ascii="Calibri Light" w:hAnsi="Calibri Light" w:cs="Calibri Light"/>
          <w:sz w:val="24"/>
          <w:szCs w:val="24"/>
        </w:rPr>
        <w:t>policy</w:t>
      </w:r>
      <w:r w:rsidRPr="00A51D80">
        <w:rPr>
          <w:rFonts w:ascii="Calibri Light" w:hAnsi="Calibri Light" w:cs="Calibri Light"/>
          <w:sz w:val="24"/>
          <w:szCs w:val="24"/>
        </w:rPr>
        <w:t xml:space="preserve"> was ratified by </w:t>
      </w:r>
      <w:r w:rsidR="001D1F7D" w:rsidRPr="00A51D80">
        <w:rPr>
          <w:rFonts w:ascii="Calibri Light" w:hAnsi="Calibri Light" w:cs="Calibri Light"/>
          <w:sz w:val="24"/>
          <w:szCs w:val="24"/>
        </w:rPr>
        <w:t xml:space="preserve">the </w:t>
      </w:r>
      <w:r w:rsidR="00FA3729" w:rsidRPr="00A51D80">
        <w:rPr>
          <w:rFonts w:ascii="Calibri Light" w:hAnsi="Calibri Light" w:cs="Calibri Light"/>
          <w:sz w:val="24"/>
          <w:szCs w:val="24"/>
        </w:rPr>
        <w:t>College</w:t>
      </w:r>
      <w:r w:rsidRPr="00A51D80">
        <w:rPr>
          <w:rFonts w:ascii="Calibri Light" w:hAnsi="Calibri Light" w:cs="Calibri Light"/>
          <w:sz w:val="24"/>
          <w:szCs w:val="24"/>
        </w:rPr>
        <w:t xml:space="preserve"> Council </w:t>
      </w:r>
      <w:r w:rsidR="001D1F7D" w:rsidRPr="00A51D80">
        <w:rPr>
          <w:rFonts w:ascii="Calibri Light" w:hAnsi="Calibri Light" w:cs="Calibri Light"/>
          <w:sz w:val="24"/>
          <w:szCs w:val="24"/>
        </w:rPr>
        <w:t>o</w:t>
      </w:r>
      <w:r w:rsidRPr="00A51D80">
        <w:rPr>
          <w:rFonts w:ascii="Calibri Light" w:hAnsi="Calibri Light" w:cs="Calibri Light"/>
          <w:sz w:val="24"/>
          <w:szCs w:val="24"/>
        </w:rPr>
        <w:t xml:space="preserve">n </w:t>
      </w:r>
      <w:r w:rsidR="00A51D80">
        <w:rPr>
          <w:rFonts w:ascii="Calibri Light" w:hAnsi="Calibri Light" w:cs="Calibri Light"/>
          <w:sz w:val="24"/>
          <w:szCs w:val="24"/>
        </w:rPr>
        <w:t>15</w:t>
      </w:r>
      <w:r w:rsidR="00A51D80" w:rsidRPr="00A51D80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="00A51D80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="00A51D80">
        <w:rPr>
          <w:rFonts w:ascii="Calibri Light" w:hAnsi="Calibri Light" w:cs="Calibri Light"/>
          <w:sz w:val="24"/>
          <w:szCs w:val="24"/>
        </w:rPr>
        <w:t>February,</w:t>
      </w:r>
      <w:proofErr w:type="gramEnd"/>
      <w:r w:rsidR="00A51D80">
        <w:rPr>
          <w:rFonts w:ascii="Calibri Light" w:hAnsi="Calibri Light" w:cs="Calibri Light"/>
          <w:sz w:val="24"/>
          <w:szCs w:val="24"/>
        </w:rPr>
        <w:t xml:space="preserve"> 2018.</w:t>
      </w:r>
    </w:p>
    <w:p w:rsidR="00A51D80" w:rsidRDefault="00A51D80" w:rsidP="00027DF5">
      <w:pPr>
        <w:pStyle w:val="Default"/>
        <w:ind w:right="-46"/>
        <w:rPr>
          <w:rFonts w:ascii="Calibri Light" w:eastAsiaTheme="minorHAnsi" w:hAnsi="Calibri Light" w:cs="Calibri Light"/>
          <w:b/>
          <w:bCs/>
          <w:color w:val="auto"/>
          <w:lang w:val="en-US"/>
        </w:rPr>
      </w:pPr>
    </w:p>
    <w:p w:rsidR="00EB221C" w:rsidRPr="00A51D80" w:rsidRDefault="00A51D80" w:rsidP="00027DF5">
      <w:pPr>
        <w:pStyle w:val="Default"/>
        <w:ind w:right="-46"/>
        <w:rPr>
          <w:rFonts w:ascii="Calibri Light" w:hAnsi="Calibri Light" w:cs="Calibri Light"/>
          <w:bCs/>
          <w:u w:val="single"/>
        </w:rPr>
      </w:pPr>
      <w:r w:rsidRPr="00A51D80">
        <w:rPr>
          <w:rFonts w:ascii="Calibri Light" w:hAnsi="Calibri Light" w:cs="Calibri Light"/>
          <w:bCs/>
          <w:u w:val="single"/>
        </w:rPr>
        <w:t>REFERENCES:</w:t>
      </w:r>
    </w:p>
    <w:p w:rsidR="00EB221C" w:rsidRPr="00A51D80" w:rsidRDefault="003F0A5A" w:rsidP="00027DF5">
      <w:pPr>
        <w:tabs>
          <w:tab w:val="left" w:pos="709"/>
        </w:tabs>
        <w:ind w:right="-46"/>
        <w:rPr>
          <w:rFonts w:ascii="Calibri Light" w:hAnsi="Calibri Light" w:cs="Calibri Light"/>
          <w:szCs w:val="24"/>
        </w:rPr>
      </w:pPr>
      <w:hyperlink r:id="rId9" w:history="1">
        <w:r w:rsidR="00EB221C" w:rsidRPr="00A51D80">
          <w:rPr>
            <w:rFonts w:ascii="Calibri Light" w:hAnsi="Calibri Light" w:cs="Calibri Light"/>
            <w:szCs w:val="24"/>
          </w:rPr>
          <w:t>www.education.vic.gov.au/school/principals/spag/finance/Pages/generatedfunding.aspx</w:t>
        </w:r>
      </w:hyperlink>
    </w:p>
    <w:p w:rsidR="00A51D80" w:rsidRPr="00A51D80" w:rsidRDefault="00EB221C" w:rsidP="00027DF5">
      <w:pPr>
        <w:tabs>
          <w:tab w:val="left" w:pos="709"/>
        </w:tabs>
        <w:ind w:right="-46"/>
        <w:rPr>
          <w:rFonts w:ascii="Calibri Light" w:hAnsi="Calibri Light" w:cs="Calibri Light"/>
          <w:szCs w:val="24"/>
        </w:rPr>
      </w:pPr>
      <w:r w:rsidRPr="00A51D80">
        <w:rPr>
          <w:rFonts w:ascii="Calibri Light" w:hAnsi="Calibri Light" w:cs="Calibri Light"/>
          <w:szCs w:val="24"/>
        </w:rPr>
        <w:t>The Financial Manual for Victorian Government Schools</w:t>
      </w:r>
      <w:r w:rsidR="001D1F7D" w:rsidRPr="00A51D80">
        <w:rPr>
          <w:rFonts w:ascii="Calibri Light" w:hAnsi="Calibri Light" w:cs="Calibri Light"/>
          <w:szCs w:val="24"/>
        </w:rPr>
        <w:t>, October 2016</w:t>
      </w:r>
    </w:p>
    <w:p w:rsidR="00A51D80" w:rsidRDefault="00A51D80" w:rsidP="00027DF5">
      <w:pPr>
        <w:ind w:right="-46"/>
      </w:pPr>
      <w:r>
        <w:br w:type="page"/>
      </w:r>
    </w:p>
    <w:p w:rsidR="007F1437" w:rsidRPr="00A51D80" w:rsidRDefault="008F78C7" w:rsidP="00027DF5">
      <w:pPr>
        <w:ind w:right="-46"/>
        <w:rPr>
          <w:rFonts w:ascii="Calibri Light" w:hAnsi="Calibri Light" w:cs="Calibri Light"/>
          <w:b/>
          <w:sz w:val="24"/>
          <w:szCs w:val="24"/>
          <w:u w:val="single"/>
        </w:rPr>
      </w:pPr>
      <w:r w:rsidRPr="00A51D80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School Specific Procedures</w:t>
      </w:r>
    </w:p>
    <w:p w:rsidR="008F78C7" w:rsidRPr="00A51D80" w:rsidRDefault="008F78C7" w:rsidP="00027DF5">
      <w:pPr>
        <w:numPr>
          <w:ilvl w:val="0"/>
          <w:numId w:val="44"/>
        </w:numPr>
        <w:spacing w:after="0" w:line="240" w:lineRule="auto"/>
        <w:ind w:left="709" w:right="-46" w:hanging="567"/>
        <w:jc w:val="both"/>
        <w:rPr>
          <w:rFonts w:ascii="Calibri Light" w:hAnsi="Calibri Light" w:cs="Calibri Light"/>
          <w:sz w:val="24"/>
          <w:szCs w:val="24"/>
        </w:rPr>
      </w:pPr>
      <w:r w:rsidRPr="00A51D80">
        <w:rPr>
          <w:rFonts w:ascii="Calibri Light" w:hAnsi="Calibri Light" w:cs="Calibri Light"/>
          <w:sz w:val="24"/>
          <w:szCs w:val="24"/>
        </w:rPr>
        <w:t xml:space="preserve">All </w:t>
      </w:r>
      <w:proofErr w:type="gramStart"/>
      <w:r w:rsidRPr="00A51D80">
        <w:rPr>
          <w:rFonts w:ascii="Calibri Light" w:hAnsi="Calibri Light" w:cs="Calibri Light"/>
          <w:sz w:val="24"/>
          <w:szCs w:val="24"/>
        </w:rPr>
        <w:t>fund raising</w:t>
      </w:r>
      <w:proofErr w:type="gramEnd"/>
      <w:r w:rsidRPr="00A51D80">
        <w:rPr>
          <w:rFonts w:ascii="Calibri Light" w:hAnsi="Calibri Light" w:cs="Calibri Light"/>
          <w:sz w:val="24"/>
          <w:szCs w:val="24"/>
        </w:rPr>
        <w:t xml:space="preserve"> events must have appropriate internal control mechanisms, and must have a specific purpose so that contributors understand the purpose of the activity.</w:t>
      </w:r>
    </w:p>
    <w:p w:rsidR="008F78C7" w:rsidRPr="00A51D80" w:rsidRDefault="008F78C7" w:rsidP="00027DF5">
      <w:pPr>
        <w:numPr>
          <w:ilvl w:val="0"/>
          <w:numId w:val="44"/>
        </w:numPr>
        <w:spacing w:after="0" w:line="240" w:lineRule="auto"/>
        <w:ind w:left="709" w:right="-46" w:hanging="567"/>
        <w:jc w:val="both"/>
        <w:rPr>
          <w:rFonts w:ascii="Calibri Light" w:hAnsi="Calibri Light" w:cs="Calibri Light"/>
          <w:sz w:val="24"/>
          <w:szCs w:val="24"/>
        </w:rPr>
      </w:pPr>
      <w:r w:rsidRPr="00A51D80">
        <w:rPr>
          <w:rFonts w:ascii="Calibri Light" w:hAnsi="Calibri Light" w:cs="Calibri Light"/>
          <w:sz w:val="24"/>
          <w:szCs w:val="24"/>
        </w:rPr>
        <w:t xml:space="preserve">The Finance Sub-Committee will have the responsibility of providing advice and recommendations to College Council in relation to all fundraising events, sponsorships and donations.  </w:t>
      </w:r>
    </w:p>
    <w:p w:rsidR="008F78C7" w:rsidRPr="00A51D80" w:rsidRDefault="008F78C7" w:rsidP="00027DF5">
      <w:pPr>
        <w:numPr>
          <w:ilvl w:val="0"/>
          <w:numId w:val="44"/>
        </w:numPr>
        <w:spacing w:after="0" w:line="240" w:lineRule="auto"/>
        <w:ind w:left="709" w:right="-46" w:hanging="567"/>
        <w:jc w:val="both"/>
        <w:rPr>
          <w:rFonts w:ascii="Calibri Light" w:hAnsi="Calibri Light" w:cs="Calibri Light"/>
          <w:sz w:val="24"/>
          <w:szCs w:val="24"/>
        </w:rPr>
      </w:pPr>
      <w:r w:rsidRPr="00A51D80">
        <w:rPr>
          <w:rFonts w:ascii="Calibri Light" w:hAnsi="Calibri Light" w:cs="Calibri Light"/>
          <w:sz w:val="24"/>
          <w:szCs w:val="24"/>
        </w:rPr>
        <w:t>All fundraising involving the on-selling of a product must have correct GST management.</w:t>
      </w:r>
    </w:p>
    <w:p w:rsidR="008F78C7" w:rsidRPr="00A51D80" w:rsidRDefault="008F78C7" w:rsidP="00027DF5">
      <w:pPr>
        <w:numPr>
          <w:ilvl w:val="0"/>
          <w:numId w:val="44"/>
        </w:numPr>
        <w:spacing w:after="0" w:line="240" w:lineRule="auto"/>
        <w:ind w:left="709" w:right="-46" w:hanging="567"/>
        <w:jc w:val="both"/>
        <w:rPr>
          <w:rFonts w:ascii="Calibri Light" w:hAnsi="Calibri Light" w:cs="Calibri Light"/>
          <w:sz w:val="24"/>
          <w:szCs w:val="24"/>
        </w:rPr>
      </w:pPr>
      <w:r w:rsidRPr="00A51D80">
        <w:rPr>
          <w:rFonts w:ascii="Calibri Light" w:hAnsi="Calibri Light" w:cs="Calibri Light"/>
          <w:sz w:val="24"/>
          <w:szCs w:val="24"/>
        </w:rPr>
        <w:t xml:space="preserve">All </w:t>
      </w:r>
      <w:proofErr w:type="gramStart"/>
      <w:r w:rsidRPr="00A51D80">
        <w:rPr>
          <w:rFonts w:ascii="Calibri Light" w:hAnsi="Calibri Light" w:cs="Calibri Light"/>
          <w:sz w:val="24"/>
          <w:szCs w:val="24"/>
        </w:rPr>
        <w:t>fund raising</w:t>
      </w:r>
      <w:proofErr w:type="gramEnd"/>
      <w:r w:rsidRPr="00A51D80">
        <w:rPr>
          <w:rFonts w:ascii="Calibri Light" w:hAnsi="Calibri Light" w:cs="Calibri Light"/>
          <w:sz w:val="24"/>
          <w:szCs w:val="24"/>
        </w:rPr>
        <w:t xml:space="preserve"> proposals must have prior approval of College Council including GST implications. </w:t>
      </w:r>
    </w:p>
    <w:p w:rsidR="008F78C7" w:rsidRPr="00A51D80" w:rsidRDefault="001D1F7D" w:rsidP="00027DF5">
      <w:pPr>
        <w:numPr>
          <w:ilvl w:val="0"/>
          <w:numId w:val="44"/>
        </w:numPr>
        <w:spacing w:after="0" w:line="240" w:lineRule="auto"/>
        <w:ind w:left="709" w:right="-46" w:hanging="567"/>
        <w:jc w:val="both"/>
        <w:rPr>
          <w:rFonts w:ascii="Calibri Light" w:hAnsi="Calibri Light" w:cs="Calibri Light"/>
          <w:sz w:val="24"/>
          <w:szCs w:val="24"/>
        </w:rPr>
      </w:pPr>
      <w:r w:rsidRPr="00A51D80">
        <w:rPr>
          <w:rFonts w:ascii="Calibri Light" w:hAnsi="Calibri Light" w:cs="Calibri Light"/>
          <w:sz w:val="24"/>
          <w:szCs w:val="24"/>
        </w:rPr>
        <w:t>Charles La Trobe College</w:t>
      </w:r>
      <w:r w:rsidR="008F78C7" w:rsidRPr="00A51D80">
        <w:rPr>
          <w:rFonts w:ascii="Calibri Light" w:hAnsi="Calibri Light" w:cs="Calibri Light"/>
          <w:sz w:val="24"/>
          <w:szCs w:val="24"/>
        </w:rPr>
        <w:t xml:space="preserve"> School Council will also seek voluntary contributions from parents in accordance with departmental requirements and expectations.</w:t>
      </w:r>
    </w:p>
    <w:p w:rsidR="008F78C7" w:rsidRPr="00A51D80" w:rsidRDefault="008F78C7" w:rsidP="00027DF5">
      <w:pPr>
        <w:numPr>
          <w:ilvl w:val="0"/>
          <w:numId w:val="44"/>
        </w:numPr>
        <w:spacing w:after="0" w:line="240" w:lineRule="auto"/>
        <w:ind w:left="709" w:right="-46" w:hanging="567"/>
        <w:jc w:val="both"/>
        <w:rPr>
          <w:rFonts w:ascii="Calibri Light" w:hAnsi="Calibri Light" w:cs="Calibri Light"/>
          <w:sz w:val="24"/>
          <w:szCs w:val="24"/>
        </w:rPr>
      </w:pPr>
      <w:r w:rsidRPr="00A51D80">
        <w:rPr>
          <w:rFonts w:ascii="Calibri Light" w:hAnsi="Calibri Light" w:cs="Calibri Light"/>
          <w:sz w:val="24"/>
          <w:szCs w:val="24"/>
        </w:rPr>
        <w:t xml:space="preserve">The School Council will approve the hire of any College facilities to outside bodies when the facilities are not required for school purposes </w:t>
      </w:r>
      <w:proofErr w:type="gramStart"/>
      <w:r w:rsidRPr="00A51D80">
        <w:rPr>
          <w:rFonts w:ascii="Calibri Light" w:hAnsi="Calibri Light" w:cs="Calibri Light"/>
          <w:sz w:val="24"/>
          <w:szCs w:val="24"/>
        </w:rPr>
        <w:t>and also</w:t>
      </w:r>
      <w:proofErr w:type="gramEnd"/>
      <w:r w:rsidRPr="00A51D80">
        <w:rPr>
          <w:rFonts w:ascii="Calibri Light" w:hAnsi="Calibri Light" w:cs="Calibri Light"/>
          <w:sz w:val="24"/>
          <w:szCs w:val="24"/>
        </w:rPr>
        <w:t xml:space="preserve"> have the responsibility to establish the terms and conditions of use.  Such agreements may have insurance implications.</w:t>
      </w:r>
    </w:p>
    <w:p w:rsidR="008F78C7" w:rsidRPr="00A51D80" w:rsidRDefault="008F78C7" w:rsidP="00027DF5">
      <w:pPr>
        <w:numPr>
          <w:ilvl w:val="0"/>
          <w:numId w:val="44"/>
        </w:numPr>
        <w:spacing w:after="0" w:line="240" w:lineRule="auto"/>
        <w:ind w:left="709" w:right="-46" w:hanging="567"/>
        <w:jc w:val="both"/>
        <w:rPr>
          <w:rFonts w:ascii="Calibri Light" w:hAnsi="Calibri Light" w:cs="Calibri Light"/>
          <w:sz w:val="24"/>
          <w:szCs w:val="24"/>
        </w:rPr>
      </w:pPr>
      <w:r w:rsidRPr="00A51D80">
        <w:rPr>
          <w:rFonts w:ascii="Calibri Light" w:hAnsi="Calibri Light" w:cs="Calibri Light"/>
          <w:sz w:val="24"/>
          <w:szCs w:val="24"/>
        </w:rPr>
        <w:t>Appropriate sponsorships will be sought as required from local industries and have a specific purpose, educational value, and will not involve associations with undesirable products, services or companies such as alcohol or tobacco products.</w:t>
      </w:r>
    </w:p>
    <w:p w:rsidR="008F78C7" w:rsidRPr="00A51D80" w:rsidRDefault="008F78C7" w:rsidP="00027DF5">
      <w:pPr>
        <w:numPr>
          <w:ilvl w:val="0"/>
          <w:numId w:val="44"/>
        </w:numPr>
        <w:spacing w:after="0" w:line="240" w:lineRule="auto"/>
        <w:ind w:left="709" w:right="-46" w:hanging="567"/>
        <w:jc w:val="both"/>
        <w:rPr>
          <w:rFonts w:ascii="Calibri Light" w:hAnsi="Calibri Light" w:cs="Calibri Light"/>
          <w:sz w:val="24"/>
          <w:szCs w:val="24"/>
        </w:rPr>
      </w:pPr>
      <w:r w:rsidRPr="00A51D80">
        <w:rPr>
          <w:rFonts w:ascii="Calibri Light" w:hAnsi="Calibri Light" w:cs="Calibri Light"/>
          <w:sz w:val="24"/>
          <w:szCs w:val="24"/>
        </w:rPr>
        <w:t>Any fundraising involving raffles or bingo must be undertaken with permission and under the instructions of the Raffles &amp; Bingo Permits Board.</w:t>
      </w:r>
    </w:p>
    <w:p w:rsidR="008F78C7" w:rsidRPr="00A51D80" w:rsidRDefault="008F78C7" w:rsidP="00027DF5">
      <w:pPr>
        <w:numPr>
          <w:ilvl w:val="0"/>
          <w:numId w:val="44"/>
        </w:numPr>
        <w:spacing w:after="0" w:line="240" w:lineRule="auto"/>
        <w:ind w:left="709" w:right="-46" w:hanging="567"/>
        <w:jc w:val="both"/>
        <w:rPr>
          <w:rFonts w:ascii="Calibri Light" w:hAnsi="Calibri Light" w:cs="Calibri Light"/>
          <w:sz w:val="24"/>
          <w:szCs w:val="24"/>
        </w:rPr>
      </w:pPr>
      <w:r w:rsidRPr="00A51D80">
        <w:rPr>
          <w:rFonts w:ascii="Calibri Light" w:hAnsi="Calibri Light" w:cs="Calibri Light"/>
          <w:sz w:val="24"/>
          <w:szCs w:val="24"/>
        </w:rPr>
        <w:t>All fundraising activities will be identified as such, and will only involve voluntary participation.</w:t>
      </w:r>
    </w:p>
    <w:p w:rsidR="008F78C7" w:rsidRPr="00A51D80" w:rsidRDefault="008F78C7" w:rsidP="00027DF5">
      <w:pPr>
        <w:numPr>
          <w:ilvl w:val="0"/>
          <w:numId w:val="44"/>
        </w:numPr>
        <w:spacing w:after="0" w:line="240" w:lineRule="auto"/>
        <w:ind w:left="709" w:right="-46" w:hanging="567"/>
        <w:jc w:val="both"/>
        <w:rPr>
          <w:rFonts w:ascii="Calibri Light" w:hAnsi="Calibri Light" w:cs="Calibri Light"/>
          <w:sz w:val="24"/>
          <w:szCs w:val="24"/>
        </w:rPr>
      </w:pPr>
      <w:r w:rsidRPr="00A51D80">
        <w:rPr>
          <w:rFonts w:ascii="Calibri Light" w:hAnsi="Calibri Light" w:cs="Calibri Light"/>
          <w:sz w:val="24"/>
          <w:szCs w:val="24"/>
        </w:rPr>
        <w:t>All profits (and losses) associated with fundraising activities will be reported to the wider community.</w:t>
      </w:r>
    </w:p>
    <w:p w:rsidR="008F78C7" w:rsidRPr="00A51D80" w:rsidRDefault="008F78C7" w:rsidP="00027DF5">
      <w:pPr>
        <w:numPr>
          <w:ilvl w:val="0"/>
          <w:numId w:val="44"/>
        </w:numPr>
        <w:spacing w:after="0" w:line="240" w:lineRule="auto"/>
        <w:ind w:left="709" w:right="-46" w:hanging="567"/>
        <w:jc w:val="both"/>
        <w:rPr>
          <w:rFonts w:ascii="Calibri Light" w:hAnsi="Calibri Light" w:cs="Calibri Light"/>
          <w:sz w:val="24"/>
          <w:szCs w:val="24"/>
        </w:rPr>
      </w:pPr>
      <w:r w:rsidRPr="00A51D80">
        <w:rPr>
          <w:rFonts w:ascii="Calibri Light" w:hAnsi="Calibri Light" w:cs="Calibri Light"/>
          <w:sz w:val="24"/>
          <w:szCs w:val="24"/>
        </w:rPr>
        <w:t>All transactions related to fundraising activities will be reported to the School Council and the GST implications of such fundraising will be formally minuted.</w:t>
      </w:r>
    </w:p>
    <w:sectPr w:rsidR="008F78C7" w:rsidRPr="00A51D8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A5A" w:rsidRDefault="003F0A5A" w:rsidP="00A51D80">
      <w:pPr>
        <w:spacing w:after="0" w:line="240" w:lineRule="auto"/>
      </w:pPr>
      <w:r>
        <w:separator/>
      </w:r>
    </w:p>
  </w:endnote>
  <w:endnote w:type="continuationSeparator" w:id="0">
    <w:p w:rsidR="003F0A5A" w:rsidRDefault="003F0A5A" w:rsidP="00A5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79314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1D80" w:rsidRDefault="00A51D80" w:rsidP="00A51D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D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A5A" w:rsidRDefault="003F0A5A" w:rsidP="00A51D80">
      <w:pPr>
        <w:spacing w:after="0" w:line="240" w:lineRule="auto"/>
      </w:pPr>
      <w:r>
        <w:separator/>
      </w:r>
    </w:p>
  </w:footnote>
  <w:footnote w:type="continuationSeparator" w:id="0">
    <w:p w:rsidR="003F0A5A" w:rsidRDefault="003F0A5A" w:rsidP="00A5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521"/>
      <w:gridCol w:w="2495"/>
    </w:tblGrid>
    <w:tr w:rsidR="00A51D80" w:rsidTr="00994086">
      <w:trPr>
        <w:trHeight w:val="1691"/>
      </w:trPr>
      <w:tc>
        <w:tcPr>
          <w:tcW w:w="6912" w:type="dxa"/>
          <w:vAlign w:val="center"/>
        </w:tcPr>
        <w:p w:rsidR="00A51D80" w:rsidRPr="00314CD7" w:rsidRDefault="00A51D80" w:rsidP="00A51D80">
          <w:pPr>
            <w:jc w:val="center"/>
          </w:pPr>
          <w:r>
            <w:rPr>
              <w:rFonts w:asciiTheme="minorHAnsi" w:hAnsiTheme="minorHAnsi"/>
              <w:sz w:val="32"/>
            </w:rPr>
            <w:t>FUNDRAISING</w:t>
          </w:r>
          <w:r w:rsidRPr="00001CC9">
            <w:rPr>
              <w:rFonts w:asciiTheme="minorHAnsi" w:hAnsiTheme="minorHAnsi"/>
              <w:sz w:val="32"/>
            </w:rPr>
            <w:t xml:space="preserve"> POLICY</w:t>
          </w:r>
        </w:p>
      </w:tc>
      <w:tc>
        <w:tcPr>
          <w:tcW w:w="2694" w:type="dxa"/>
        </w:tcPr>
        <w:p w:rsidR="00A51D80" w:rsidRDefault="00A51D80" w:rsidP="00A51D80">
          <w:pPr>
            <w:pStyle w:val="Title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95BCCC" wp14:editId="1B78CC55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322" cy="952500"/>
                <wp:effectExtent l="0" t="0" r="635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322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51D80" w:rsidRDefault="00A51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016FB"/>
    <w:multiLevelType w:val="hybridMultilevel"/>
    <w:tmpl w:val="C58AC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354A7"/>
    <w:multiLevelType w:val="hybridMultilevel"/>
    <w:tmpl w:val="B9547372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3228D"/>
    <w:multiLevelType w:val="hybridMultilevel"/>
    <w:tmpl w:val="4DD44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B39B7"/>
    <w:multiLevelType w:val="hybridMultilevel"/>
    <w:tmpl w:val="DD48C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803AB"/>
    <w:multiLevelType w:val="hybridMultilevel"/>
    <w:tmpl w:val="B53EAB14"/>
    <w:lvl w:ilvl="0" w:tplc="479812EC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0442801"/>
    <w:multiLevelType w:val="hybridMultilevel"/>
    <w:tmpl w:val="DB5AB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C3A11"/>
    <w:multiLevelType w:val="hybridMultilevel"/>
    <w:tmpl w:val="981E2F9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495B37"/>
    <w:multiLevelType w:val="hybridMultilevel"/>
    <w:tmpl w:val="3EE09414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20153"/>
    <w:multiLevelType w:val="hybridMultilevel"/>
    <w:tmpl w:val="FF60B49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92B2DF9"/>
    <w:multiLevelType w:val="hybridMultilevel"/>
    <w:tmpl w:val="CFE2AF7C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97A0EE6"/>
    <w:multiLevelType w:val="hybridMultilevel"/>
    <w:tmpl w:val="96280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9222F"/>
    <w:multiLevelType w:val="hybridMultilevel"/>
    <w:tmpl w:val="1C262986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908F7"/>
    <w:multiLevelType w:val="hybridMultilevel"/>
    <w:tmpl w:val="39329AC4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1E8476DB"/>
    <w:multiLevelType w:val="hybridMultilevel"/>
    <w:tmpl w:val="163A003C"/>
    <w:lvl w:ilvl="0" w:tplc="904880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FD61CD5"/>
    <w:multiLevelType w:val="hybridMultilevel"/>
    <w:tmpl w:val="C1BA7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1287D"/>
    <w:multiLevelType w:val="hybridMultilevel"/>
    <w:tmpl w:val="0FACB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D0B6E"/>
    <w:multiLevelType w:val="hybridMultilevel"/>
    <w:tmpl w:val="508805B8"/>
    <w:lvl w:ilvl="0" w:tplc="479812EC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BA51A3C"/>
    <w:multiLevelType w:val="hybridMultilevel"/>
    <w:tmpl w:val="38300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22370"/>
    <w:multiLevelType w:val="hybridMultilevel"/>
    <w:tmpl w:val="54663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D4EED"/>
    <w:multiLevelType w:val="hybridMultilevel"/>
    <w:tmpl w:val="2DF43BD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83E7005"/>
    <w:multiLevelType w:val="hybridMultilevel"/>
    <w:tmpl w:val="72F6DE4A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B3768EE"/>
    <w:multiLevelType w:val="hybridMultilevel"/>
    <w:tmpl w:val="3C38BBE8"/>
    <w:lvl w:ilvl="0" w:tplc="9F006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62C74"/>
    <w:multiLevelType w:val="hybridMultilevel"/>
    <w:tmpl w:val="2D7A0926"/>
    <w:lvl w:ilvl="0" w:tplc="0C0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4" w15:restartNumberingAfterBreak="0">
    <w:nsid w:val="459B1F64"/>
    <w:multiLevelType w:val="hybridMultilevel"/>
    <w:tmpl w:val="13447A50"/>
    <w:lvl w:ilvl="0" w:tplc="479812EC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74E3DC6"/>
    <w:multiLevelType w:val="hybridMultilevel"/>
    <w:tmpl w:val="1CC28A6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AD34AD5"/>
    <w:multiLevelType w:val="hybridMultilevel"/>
    <w:tmpl w:val="240C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C1FB9"/>
    <w:multiLevelType w:val="hybridMultilevel"/>
    <w:tmpl w:val="4F76B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70151"/>
    <w:multiLevelType w:val="hybridMultilevel"/>
    <w:tmpl w:val="83C22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72882"/>
    <w:multiLevelType w:val="hybridMultilevel"/>
    <w:tmpl w:val="6E62262E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51C80"/>
    <w:multiLevelType w:val="hybridMultilevel"/>
    <w:tmpl w:val="46FEDB9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14859AB"/>
    <w:multiLevelType w:val="hybridMultilevel"/>
    <w:tmpl w:val="6D40A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41208"/>
    <w:multiLevelType w:val="singleLevel"/>
    <w:tmpl w:val="32FAEE2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33" w15:restartNumberingAfterBreak="0">
    <w:nsid w:val="64753945"/>
    <w:multiLevelType w:val="hybridMultilevel"/>
    <w:tmpl w:val="32647220"/>
    <w:lvl w:ilvl="0" w:tplc="479812EC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653604A4"/>
    <w:multiLevelType w:val="hybridMultilevel"/>
    <w:tmpl w:val="6C3228B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5886BCB"/>
    <w:multiLevelType w:val="hybridMultilevel"/>
    <w:tmpl w:val="14FC7960"/>
    <w:lvl w:ilvl="0" w:tplc="479812EC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DA9499F"/>
    <w:multiLevelType w:val="hybridMultilevel"/>
    <w:tmpl w:val="2390ABD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0B64265"/>
    <w:multiLevelType w:val="hybridMultilevel"/>
    <w:tmpl w:val="DF94EB1A"/>
    <w:lvl w:ilvl="0" w:tplc="904880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EC6FFB"/>
    <w:multiLevelType w:val="hybridMultilevel"/>
    <w:tmpl w:val="677C56C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586805"/>
    <w:multiLevelType w:val="hybridMultilevel"/>
    <w:tmpl w:val="92F8AFB4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32178"/>
    <w:multiLevelType w:val="hybridMultilevel"/>
    <w:tmpl w:val="536A7CA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73D037FD"/>
    <w:multiLevelType w:val="hybridMultilevel"/>
    <w:tmpl w:val="37644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237CD"/>
    <w:multiLevelType w:val="hybridMultilevel"/>
    <w:tmpl w:val="D46A95A4"/>
    <w:lvl w:ilvl="0" w:tplc="0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3" w15:restartNumberingAfterBreak="0">
    <w:nsid w:val="775127BE"/>
    <w:multiLevelType w:val="hybridMultilevel"/>
    <w:tmpl w:val="D30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8"/>
  </w:num>
  <w:num w:numId="4">
    <w:abstractNumId w:val="4"/>
  </w:num>
  <w:num w:numId="5">
    <w:abstractNumId w:val="12"/>
  </w:num>
  <w:num w:numId="6">
    <w:abstractNumId w:val="3"/>
  </w:num>
  <w:num w:numId="7">
    <w:abstractNumId w:val="39"/>
  </w:num>
  <w:num w:numId="8">
    <w:abstractNumId w:val="19"/>
  </w:num>
  <w:num w:numId="9">
    <w:abstractNumId w:val="26"/>
  </w:num>
  <w:num w:numId="10">
    <w:abstractNumId w:val="18"/>
  </w:num>
  <w:num w:numId="11">
    <w:abstractNumId w:val="41"/>
  </w:num>
  <w:num w:numId="12">
    <w:abstractNumId w:val="13"/>
  </w:num>
  <w:num w:numId="13">
    <w:abstractNumId w:val="1"/>
  </w:num>
  <w:num w:numId="14">
    <w:abstractNumId w:val="22"/>
  </w:num>
  <w:num w:numId="15">
    <w:abstractNumId w:val="27"/>
  </w:num>
  <w:num w:numId="16">
    <w:abstractNumId w:val="6"/>
  </w:num>
  <w:num w:numId="17">
    <w:abstractNumId w:val="2"/>
  </w:num>
  <w:num w:numId="18">
    <w:abstractNumId w:val="43"/>
  </w:num>
  <w:num w:numId="19">
    <w:abstractNumId w:val="29"/>
  </w:num>
  <w:num w:numId="20">
    <w:abstractNumId w:val="11"/>
  </w:num>
  <w:num w:numId="21">
    <w:abstractNumId w:val="31"/>
  </w:num>
  <w:num w:numId="22">
    <w:abstractNumId w:val="20"/>
  </w:num>
  <w:num w:numId="23">
    <w:abstractNumId w:val="36"/>
  </w:num>
  <w:num w:numId="24">
    <w:abstractNumId w:val="17"/>
  </w:num>
  <w:num w:numId="25">
    <w:abstractNumId w:val="40"/>
  </w:num>
  <w:num w:numId="26">
    <w:abstractNumId w:val="34"/>
  </w:num>
  <w:num w:numId="27">
    <w:abstractNumId w:val="5"/>
  </w:num>
  <w:num w:numId="28">
    <w:abstractNumId w:val="24"/>
  </w:num>
  <w:num w:numId="29">
    <w:abstractNumId w:val="9"/>
  </w:num>
  <w:num w:numId="30">
    <w:abstractNumId w:val="35"/>
  </w:num>
  <w:num w:numId="31">
    <w:abstractNumId w:val="33"/>
  </w:num>
  <w:num w:numId="32">
    <w:abstractNumId w:val="25"/>
  </w:num>
  <w:num w:numId="33">
    <w:abstractNumId w:val="42"/>
  </w:num>
  <w:num w:numId="34">
    <w:abstractNumId w:val="23"/>
  </w:num>
  <w:num w:numId="35">
    <w:abstractNumId w:val="15"/>
  </w:num>
  <w:num w:numId="36">
    <w:abstractNumId w:val="21"/>
  </w:num>
  <w:num w:numId="37">
    <w:abstractNumId w:val="38"/>
  </w:num>
  <w:num w:numId="38">
    <w:abstractNumId w:val="30"/>
  </w:num>
  <w:num w:numId="39">
    <w:abstractNumId w:val="7"/>
  </w:num>
  <w:num w:numId="40">
    <w:abstractNumId w:val="10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42">
    <w:abstractNumId w:val="32"/>
  </w:num>
  <w:num w:numId="43">
    <w:abstractNumId w:val="3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27DF5"/>
    <w:rsid w:val="00091DD9"/>
    <w:rsid w:val="00135515"/>
    <w:rsid w:val="001D1F7D"/>
    <w:rsid w:val="001D5928"/>
    <w:rsid w:val="002561F1"/>
    <w:rsid w:val="002C7F9C"/>
    <w:rsid w:val="00365E49"/>
    <w:rsid w:val="00371B3E"/>
    <w:rsid w:val="003954A6"/>
    <w:rsid w:val="003E64E6"/>
    <w:rsid w:val="003F0A5A"/>
    <w:rsid w:val="0047651C"/>
    <w:rsid w:val="006342C1"/>
    <w:rsid w:val="00645665"/>
    <w:rsid w:val="007C0960"/>
    <w:rsid w:val="007F1437"/>
    <w:rsid w:val="00844B45"/>
    <w:rsid w:val="008F78C7"/>
    <w:rsid w:val="00912DA4"/>
    <w:rsid w:val="009A2FD7"/>
    <w:rsid w:val="00A146D2"/>
    <w:rsid w:val="00A51D80"/>
    <w:rsid w:val="00A8490A"/>
    <w:rsid w:val="00BA20B9"/>
    <w:rsid w:val="00BD71FE"/>
    <w:rsid w:val="00BE2EA6"/>
    <w:rsid w:val="00D578AD"/>
    <w:rsid w:val="00DD4990"/>
    <w:rsid w:val="00E97516"/>
    <w:rsid w:val="00EB221C"/>
    <w:rsid w:val="00FA3729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5CB86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F1437"/>
    <w:rPr>
      <w:b/>
      <w:bCs/>
      <w:i w:val="0"/>
      <w:iCs w:val="0"/>
    </w:rPr>
  </w:style>
  <w:style w:type="paragraph" w:customStyle="1" w:styleId="Default">
    <w:name w:val="Default"/>
    <w:rsid w:val="00EB22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D80"/>
  </w:style>
  <w:style w:type="paragraph" w:styleId="Title">
    <w:name w:val="Title"/>
    <w:basedOn w:val="Normal"/>
    <w:link w:val="TitleChar"/>
    <w:qFormat/>
    <w:rsid w:val="00A51D80"/>
    <w:pPr>
      <w:spacing w:after="0" w:line="240" w:lineRule="auto"/>
      <w:jc w:val="center"/>
    </w:pPr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51D80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A51D8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cgr.vic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ducation.vic.gov.au/school/principals/spag/finance/Pages/generatedfunding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5</cp:revision>
  <dcterms:created xsi:type="dcterms:W3CDTF">2017-02-16T02:42:00Z</dcterms:created>
  <dcterms:modified xsi:type="dcterms:W3CDTF">2018-01-02T01:15:00Z</dcterms:modified>
</cp:coreProperties>
</file>