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16D0" w:rsidRPr="00780B2F" w:rsidRDefault="00D716D0" w:rsidP="00B4068A">
      <w:pPr>
        <w:ind w:right="-472"/>
        <w:jc w:val="left"/>
        <w:rPr>
          <w:rStyle w:val="SubtleReference"/>
          <w:rFonts w:cs="Calibri Light"/>
          <w:szCs w:val="24"/>
        </w:rPr>
      </w:pPr>
      <w:r w:rsidRPr="00780B2F">
        <w:rPr>
          <w:rStyle w:val="SubtleReference"/>
          <w:rFonts w:cs="Calibri Light"/>
          <w:szCs w:val="24"/>
        </w:rPr>
        <w:t>Rationale</w:t>
      </w:r>
    </w:p>
    <w:p w:rsidR="00D716D0" w:rsidRPr="00780B2F" w:rsidRDefault="00D716D0" w:rsidP="006E639B">
      <w:pPr>
        <w:tabs>
          <w:tab w:val="left" w:pos="7797"/>
        </w:tabs>
        <w:ind w:right="-188"/>
        <w:jc w:val="both"/>
        <w:rPr>
          <w:rFonts w:ascii="Calibri Light" w:hAnsi="Calibri Light" w:cs="Calibri Light"/>
          <w:sz w:val="24"/>
          <w:szCs w:val="24"/>
          <w:lang w:eastAsia="en-AU"/>
        </w:rPr>
      </w:pPr>
      <w:r w:rsidRPr="00780B2F">
        <w:rPr>
          <w:rFonts w:ascii="Calibri Light" w:hAnsi="Calibri Light" w:cs="Calibri Light"/>
          <w:sz w:val="24"/>
          <w:szCs w:val="24"/>
          <w:lang w:eastAsia="en-AU"/>
        </w:rPr>
        <w:t>It is the responsibility of employers to identify the Reportable Fringe Benefits (RFB) amounts which each employee has received and to report this annually.</w:t>
      </w:r>
    </w:p>
    <w:p w:rsidR="00D716D0" w:rsidRPr="00780B2F" w:rsidRDefault="00D716D0" w:rsidP="00AC1899">
      <w:pPr>
        <w:tabs>
          <w:tab w:val="left" w:pos="7797"/>
        </w:tabs>
        <w:ind w:left="709" w:right="-188"/>
        <w:jc w:val="both"/>
        <w:rPr>
          <w:rFonts w:ascii="Calibri Light" w:hAnsi="Calibri Light" w:cs="Calibri Light"/>
          <w:sz w:val="24"/>
          <w:szCs w:val="24"/>
        </w:rPr>
      </w:pPr>
    </w:p>
    <w:p w:rsidR="00D716D0" w:rsidRPr="00780B2F" w:rsidRDefault="00707EC2" w:rsidP="00B4068A">
      <w:pPr>
        <w:tabs>
          <w:tab w:val="left" w:pos="7797"/>
        </w:tabs>
        <w:ind w:right="-188"/>
        <w:jc w:val="both"/>
        <w:rPr>
          <w:rStyle w:val="SubtleReference"/>
          <w:rFonts w:cs="Calibri Light"/>
          <w:szCs w:val="24"/>
        </w:rPr>
      </w:pPr>
      <w:r w:rsidRPr="00780B2F">
        <w:rPr>
          <w:rStyle w:val="SubtleReference"/>
          <w:rFonts w:cs="Calibri Light"/>
          <w:szCs w:val="24"/>
        </w:rPr>
        <w:t>Purpose</w:t>
      </w:r>
    </w:p>
    <w:p w:rsidR="00D716D0" w:rsidRPr="00780B2F" w:rsidRDefault="00D716D0" w:rsidP="006E639B">
      <w:pPr>
        <w:tabs>
          <w:tab w:val="left" w:pos="7797"/>
        </w:tabs>
        <w:ind w:right="-188"/>
        <w:jc w:val="both"/>
        <w:rPr>
          <w:rFonts w:ascii="Calibri Light" w:hAnsi="Calibri Light" w:cs="Calibri Light"/>
          <w:sz w:val="24"/>
          <w:szCs w:val="24"/>
        </w:rPr>
      </w:pPr>
      <w:r w:rsidRPr="00780B2F">
        <w:rPr>
          <w:rFonts w:ascii="Calibri Light" w:hAnsi="Calibri Light" w:cs="Calibri Light"/>
          <w:sz w:val="24"/>
          <w:szCs w:val="24"/>
        </w:rPr>
        <w:t xml:space="preserve">To ensure </w:t>
      </w:r>
      <w:r w:rsidR="005E7F78" w:rsidRPr="00780B2F">
        <w:rPr>
          <w:rFonts w:ascii="Calibri Light" w:hAnsi="Calibri Light" w:cs="Calibri Light"/>
          <w:sz w:val="24"/>
          <w:szCs w:val="24"/>
        </w:rPr>
        <w:t>Charles La Trobe College</w:t>
      </w:r>
      <w:r w:rsidRPr="00780B2F">
        <w:rPr>
          <w:rFonts w:ascii="Calibri Light" w:hAnsi="Calibri Light" w:cs="Calibri Light"/>
          <w:sz w:val="24"/>
          <w:szCs w:val="24"/>
        </w:rPr>
        <w:t xml:space="preserve"> complies with its legislated requirements in relation to Fringe Benefits Tax.</w:t>
      </w:r>
    </w:p>
    <w:p w:rsidR="00D716D0" w:rsidRPr="00780B2F" w:rsidRDefault="00D716D0" w:rsidP="00D716D0">
      <w:pPr>
        <w:ind w:left="709" w:right="284" w:firstLine="142"/>
        <w:jc w:val="both"/>
        <w:rPr>
          <w:rStyle w:val="SubtleReference"/>
          <w:rFonts w:cs="Calibri Light"/>
          <w:szCs w:val="24"/>
        </w:rPr>
      </w:pPr>
    </w:p>
    <w:p w:rsidR="00D716D0" w:rsidRPr="00780B2F" w:rsidRDefault="00D716D0" w:rsidP="00B4068A">
      <w:pPr>
        <w:tabs>
          <w:tab w:val="left" w:pos="8505"/>
        </w:tabs>
        <w:ind w:right="284"/>
        <w:jc w:val="both"/>
        <w:rPr>
          <w:rStyle w:val="SubtleReference"/>
          <w:rFonts w:cs="Calibri Light"/>
          <w:szCs w:val="24"/>
        </w:rPr>
      </w:pPr>
      <w:r w:rsidRPr="00780B2F">
        <w:rPr>
          <w:rStyle w:val="SubtleReference"/>
          <w:rFonts w:cs="Calibri Light"/>
          <w:szCs w:val="24"/>
        </w:rPr>
        <w:t>Implementation</w:t>
      </w:r>
    </w:p>
    <w:tbl>
      <w:tblPr>
        <w:tblW w:w="9856" w:type="dxa"/>
        <w:tblCellSpacing w:w="0" w:type="dxa"/>
        <w:tblCellMar>
          <w:left w:w="0" w:type="dxa"/>
          <w:right w:w="0" w:type="dxa"/>
        </w:tblCellMar>
        <w:tblLook w:val="04A0" w:firstRow="1" w:lastRow="0" w:firstColumn="1" w:lastColumn="0" w:noHBand="0" w:noVBand="1"/>
      </w:tblPr>
      <w:tblGrid>
        <w:gridCol w:w="9856"/>
      </w:tblGrid>
      <w:tr w:rsidR="00D716D0" w:rsidRPr="00780B2F" w:rsidTr="00D3324A">
        <w:trPr>
          <w:trHeight w:val="300"/>
          <w:tblCellSpacing w:w="0" w:type="dxa"/>
        </w:trPr>
        <w:tc>
          <w:tcPr>
            <w:tcW w:w="9856" w:type="dxa"/>
            <w:tcMar>
              <w:top w:w="0" w:type="dxa"/>
              <w:left w:w="75" w:type="dxa"/>
              <w:bottom w:w="0" w:type="dxa"/>
              <w:right w:w="0" w:type="dxa"/>
            </w:tcMar>
            <w:vAlign w:val="center"/>
            <w:hideMark/>
          </w:tcPr>
          <w:p w:rsidR="00D716D0" w:rsidRPr="00780B2F" w:rsidRDefault="00D716D0" w:rsidP="00B4068A">
            <w:pPr>
              <w:pStyle w:val="ListParagraph"/>
              <w:numPr>
                <w:ilvl w:val="0"/>
                <w:numId w:val="44"/>
              </w:numPr>
              <w:tabs>
                <w:tab w:val="left" w:pos="-142"/>
              </w:tabs>
              <w:ind w:right="521"/>
              <w:jc w:val="both"/>
              <w:rPr>
                <w:rFonts w:ascii="Calibri Light" w:hAnsi="Calibri Light" w:cs="Calibri Light"/>
              </w:rPr>
            </w:pPr>
            <w:r w:rsidRPr="00780B2F">
              <w:rPr>
                <w:rFonts w:ascii="Calibri Light" w:hAnsi="Calibri Light" w:cs="Calibri Light"/>
              </w:rPr>
              <w:t>The school will register for GST, have an ABN number and independently lodge BAS returns.</w:t>
            </w:r>
          </w:p>
          <w:p w:rsidR="00D716D0" w:rsidRPr="00780B2F" w:rsidRDefault="00D716D0" w:rsidP="00B4068A">
            <w:pPr>
              <w:pStyle w:val="ListParagraph"/>
              <w:numPr>
                <w:ilvl w:val="0"/>
                <w:numId w:val="44"/>
              </w:numPr>
              <w:ind w:right="521"/>
              <w:jc w:val="both"/>
              <w:rPr>
                <w:rFonts w:ascii="Calibri Light" w:hAnsi="Calibri Light" w:cs="Calibri Light"/>
              </w:rPr>
            </w:pPr>
            <w:r w:rsidRPr="00780B2F">
              <w:rPr>
                <w:rFonts w:ascii="Calibri Light" w:hAnsi="Calibri Light" w:cs="Calibri Light"/>
              </w:rPr>
              <w:t xml:space="preserve">By April 15 each year, the Business Manager will advise Financial Services Division of the value of fringe benefits provided to DET staff employed at the school during the preceding twelve months ending </w:t>
            </w:r>
            <w:bookmarkStart w:id="0" w:name="_GoBack"/>
            <w:bookmarkEnd w:id="0"/>
            <w:r w:rsidRPr="00780B2F">
              <w:rPr>
                <w:rFonts w:ascii="Calibri Light" w:hAnsi="Calibri Light" w:cs="Calibri Light"/>
              </w:rPr>
              <w:t xml:space="preserve">on 31 March. </w:t>
            </w:r>
          </w:p>
          <w:p w:rsidR="00D716D0" w:rsidRPr="00780B2F" w:rsidRDefault="00D716D0" w:rsidP="00B4068A">
            <w:pPr>
              <w:pStyle w:val="ListParagraph"/>
              <w:numPr>
                <w:ilvl w:val="0"/>
                <w:numId w:val="44"/>
              </w:numPr>
              <w:ind w:right="521"/>
              <w:jc w:val="both"/>
              <w:rPr>
                <w:rFonts w:ascii="Calibri Light" w:hAnsi="Calibri Light" w:cs="Calibri Light"/>
              </w:rPr>
            </w:pPr>
            <w:r w:rsidRPr="00780B2F">
              <w:rPr>
                <w:rFonts w:ascii="Calibri Light" w:hAnsi="Calibri Light" w:cs="Calibri Light"/>
              </w:rPr>
              <w:t xml:space="preserve">This will be done using the </w:t>
            </w:r>
            <w:r w:rsidRPr="00780B2F">
              <w:rPr>
                <w:rFonts w:ascii="Calibri Light" w:hAnsi="Calibri Light" w:cs="Calibri Light"/>
                <w:lang w:eastAsia="en-AU"/>
              </w:rPr>
              <w:t xml:space="preserve">FBT Tracker that has been developed by the Tax Compliance Unit. </w:t>
            </w:r>
          </w:p>
          <w:p w:rsidR="00AC1899" w:rsidRPr="00780B2F" w:rsidRDefault="00AC1899" w:rsidP="00B4068A">
            <w:pPr>
              <w:pStyle w:val="ListParagraph"/>
              <w:numPr>
                <w:ilvl w:val="0"/>
                <w:numId w:val="44"/>
              </w:numPr>
              <w:ind w:right="521"/>
              <w:jc w:val="both"/>
              <w:rPr>
                <w:rFonts w:ascii="Calibri Light" w:hAnsi="Calibri Light" w:cs="Calibri Light"/>
              </w:rPr>
            </w:pPr>
            <w:r w:rsidRPr="00780B2F">
              <w:rPr>
                <w:rFonts w:ascii="Calibri Light" w:hAnsi="Calibri Light" w:cs="Calibri Light"/>
                <w:color w:val="202020"/>
              </w:rPr>
              <w:t>Note: The $300 minor and infrequent benefits rules do not apply to government schools for the provision of entertainment.</w:t>
            </w:r>
          </w:p>
          <w:p w:rsidR="00D716D0" w:rsidRPr="00780B2F" w:rsidRDefault="00D716D0" w:rsidP="00B4068A">
            <w:pPr>
              <w:pStyle w:val="ListParagraph"/>
              <w:numPr>
                <w:ilvl w:val="0"/>
                <w:numId w:val="44"/>
              </w:numPr>
              <w:ind w:right="521"/>
              <w:jc w:val="both"/>
              <w:rPr>
                <w:rFonts w:ascii="Calibri Light" w:hAnsi="Calibri Light" w:cs="Calibri Light"/>
              </w:rPr>
            </w:pPr>
            <w:r w:rsidRPr="00780B2F">
              <w:rPr>
                <w:rFonts w:ascii="Calibri Light" w:hAnsi="Calibri Light" w:cs="Calibri Light"/>
                <w:lang w:eastAsia="en-AU"/>
              </w:rPr>
              <w:t>Nil liability will also be reported in this manner.</w:t>
            </w:r>
          </w:p>
          <w:p w:rsidR="00AC1899" w:rsidRPr="00780B2F" w:rsidRDefault="00AC1899" w:rsidP="00B4068A">
            <w:pPr>
              <w:pStyle w:val="ListParagraph"/>
              <w:numPr>
                <w:ilvl w:val="0"/>
                <w:numId w:val="44"/>
              </w:numPr>
              <w:ind w:right="521"/>
              <w:jc w:val="both"/>
              <w:rPr>
                <w:rFonts w:ascii="Calibri Light" w:hAnsi="Calibri Light" w:cs="Calibri Light"/>
              </w:rPr>
            </w:pPr>
            <w:r w:rsidRPr="00780B2F">
              <w:rPr>
                <w:rFonts w:ascii="Calibri Light" w:hAnsi="Calibri Light" w:cs="Calibri Light"/>
                <w:lang w:eastAsia="en-AU"/>
              </w:rPr>
              <w:t>School Councils are exempt from payroll tax.</w:t>
            </w:r>
          </w:p>
          <w:p w:rsidR="00AC1899" w:rsidRPr="00780B2F" w:rsidRDefault="00AC1899" w:rsidP="00B4068A">
            <w:pPr>
              <w:pStyle w:val="ListParagraph"/>
              <w:numPr>
                <w:ilvl w:val="0"/>
                <w:numId w:val="44"/>
              </w:numPr>
              <w:ind w:right="521"/>
              <w:jc w:val="both"/>
              <w:rPr>
                <w:rFonts w:ascii="Calibri Light" w:hAnsi="Calibri Light" w:cs="Calibri Light"/>
              </w:rPr>
            </w:pPr>
            <w:r w:rsidRPr="00780B2F">
              <w:rPr>
                <w:rFonts w:ascii="Calibri Light" w:hAnsi="Calibri Light" w:cs="Calibri Light"/>
              </w:rPr>
              <w:t xml:space="preserve">If applicable, the school can apply to the ATO to set up Tax Deductible Gift Recipient (DGR) Building  </w:t>
            </w:r>
          </w:p>
          <w:p w:rsidR="00AC1899" w:rsidRPr="00780B2F" w:rsidRDefault="00AC1899" w:rsidP="00B4068A">
            <w:pPr>
              <w:pStyle w:val="ListParagraph"/>
              <w:numPr>
                <w:ilvl w:val="0"/>
                <w:numId w:val="44"/>
              </w:numPr>
              <w:ind w:right="521"/>
              <w:jc w:val="both"/>
              <w:rPr>
                <w:rFonts w:ascii="Calibri Light" w:hAnsi="Calibri Light" w:cs="Calibri Light"/>
              </w:rPr>
            </w:pPr>
            <w:r w:rsidRPr="00780B2F">
              <w:rPr>
                <w:rFonts w:ascii="Calibri Light" w:hAnsi="Calibri Light" w:cs="Calibri Light"/>
              </w:rPr>
              <w:t>Funds or Library that allow income tax deductions for donations.</w:t>
            </w:r>
          </w:p>
          <w:p w:rsidR="00AC1899" w:rsidRPr="00780B2F" w:rsidRDefault="00AC1899" w:rsidP="00B4068A">
            <w:pPr>
              <w:pStyle w:val="ListParagraph"/>
              <w:numPr>
                <w:ilvl w:val="0"/>
                <w:numId w:val="44"/>
              </w:numPr>
              <w:ind w:right="521"/>
              <w:jc w:val="both"/>
              <w:rPr>
                <w:rFonts w:ascii="Calibri Light" w:hAnsi="Calibri Light" w:cs="Calibri Light"/>
              </w:rPr>
            </w:pPr>
            <w:r w:rsidRPr="00780B2F">
              <w:rPr>
                <w:rFonts w:ascii="Calibri Light" w:hAnsi="Calibri Light" w:cs="Calibri Light"/>
              </w:rPr>
              <w:t xml:space="preserve">For further information, the school will contact the Department’s Tax and Compliance Unit for advice at </w:t>
            </w:r>
            <w:hyperlink r:id="rId10" w:history="1">
              <w:r w:rsidRPr="00780B2F">
                <w:rPr>
                  <w:rStyle w:val="Hyperlink"/>
                  <w:rFonts w:ascii="Calibri Light" w:hAnsi="Calibri Light" w:cs="Calibri Light"/>
                </w:rPr>
                <w:t>tax@edumail.vic.gov.au</w:t>
              </w:r>
            </w:hyperlink>
          </w:p>
          <w:p w:rsidR="008F5170" w:rsidRPr="00780B2F" w:rsidRDefault="008F5170" w:rsidP="00B4068A">
            <w:pPr>
              <w:pStyle w:val="ListParagraph"/>
              <w:numPr>
                <w:ilvl w:val="0"/>
                <w:numId w:val="44"/>
              </w:numPr>
              <w:ind w:right="521"/>
              <w:jc w:val="both"/>
              <w:rPr>
                <w:rFonts w:ascii="Calibri Light" w:hAnsi="Calibri Light" w:cs="Calibri Light"/>
              </w:rPr>
            </w:pPr>
            <w:r w:rsidRPr="00780B2F">
              <w:rPr>
                <w:rFonts w:ascii="Calibri Light" w:hAnsi="Calibri Light" w:cs="Calibri Light"/>
                <w:lang w:eastAsia="en-AU"/>
              </w:rPr>
              <w:t xml:space="preserve">Please refer also to the school’s </w:t>
            </w:r>
            <w:proofErr w:type="gramStart"/>
            <w:r w:rsidRPr="00780B2F">
              <w:rPr>
                <w:rFonts w:ascii="Calibri Light" w:hAnsi="Calibri Light" w:cs="Calibri Light"/>
                <w:i/>
                <w:lang w:eastAsia="en-AU"/>
              </w:rPr>
              <w:t>Financial Management</w:t>
            </w:r>
            <w:proofErr w:type="gramEnd"/>
            <w:r w:rsidRPr="00780B2F">
              <w:rPr>
                <w:rFonts w:ascii="Calibri Light" w:hAnsi="Calibri Light" w:cs="Calibri Light"/>
                <w:i/>
                <w:lang w:eastAsia="en-AU"/>
              </w:rPr>
              <w:t xml:space="preserve"> Policy</w:t>
            </w:r>
            <w:r w:rsidRPr="00780B2F">
              <w:rPr>
                <w:rFonts w:ascii="Calibri Light" w:hAnsi="Calibri Light" w:cs="Calibri Light"/>
                <w:lang w:eastAsia="en-AU"/>
              </w:rPr>
              <w:t>.</w:t>
            </w:r>
          </w:p>
          <w:p w:rsidR="00D716D0" w:rsidRPr="00780B2F" w:rsidRDefault="00D716D0" w:rsidP="00AC1899">
            <w:pPr>
              <w:pStyle w:val="ListParagraph"/>
              <w:tabs>
                <w:tab w:val="left" w:pos="8505"/>
              </w:tabs>
              <w:ind w:left="1560" w:right="521"/>
              <w:jc w:val="both"/>
              <w:rPr>
                <w:rFonts w:ascii="Calibri Light" w:hAnsi="Calibri Light" w:cs="Calibri Light"/>
                <w:lang w:eastAsia="en-AU"/>
              </w:rPr>
            </w:pPr>
          </w:p>
        </w:tc>
      </w:tr>
    </w:tbl>
    <w:p w:rsidR="00FB6906" w:rsidRPr="00780B2F" w:rsidRDefault="00D716D0" w:rsidP="00FB6906">
      <w:pPr>
        <w:tabs>
          <w:tab w:val="left" w:pos="284"/>
          <w:tab w:val="left" w:pos="567"/>
        </w:tabs>
        <w:ind w:right="521"/>
        <w:jc w:val="both"/>
        <w:rPr>
          <w:rStyle w:val="SubtleReference"/>
          <w:rFonts w:cs="Calibri Light"/>
          <w:szCs w:val="24"/>
        </w:rPr>
      </w:pPr>
      <w:r w:rsidRPr="00780B2F">
        <w:rPr>
          <w:rStyle w:val="SubtleReference"/>
          <w:rFonts w:cs="Calibri Light"/>
          <w:szCs w:val="24"/>
        </w:rPr>
        <w:t>Evaluation</w:t>
      </w:r>
    </w:p>
    <w:p w:rsidR="00D716D0" w:rsidRPr="00780B2F" w:rsidRDefault="00D716D0" w:rsidP="00FB6906">
      <w:pPr>
        <w:tabs>
          <w:tab w:val="left" w:pos="284"/>
          <w:tab w:val="left" w:pos="567"/>
        </w:tabs>
        <w:ind w:right="521"/>
        <w:jc w:val="both"/>
        <w:rPr>
          <w:rFonts w:ascii="Calibri Light" w:hAnsi="Calibri Light" w:cs="Calibri Light"/>
          <w:smallCaps/>
          <w:sz w:val="24"/>
          <w:szCs w:val="24"/>
          <w:u w:val="single"/>
        </w:rPr>
      </w:pPr>
      <w:r w:rsidRPr="00780B2F">
        <w:rPr>
          <w:rFonts w:ascii="Calibri Light" w:hAnsi="Calibri Light" w:cs="Calibri Light"/>
          <w:sz w:val="24"/>
          <w:szCs w:val="24"/>
        </w:rPr>
        <w:t xml:space="preserve">This policy will be reviewed as part of the school’s three-year review cycle or if guidelines change (latest </w:t>
      </w:r>
      <w:r w:rsidR="00AC1899" w:rsidRPr="00780B2F">
        <w:rPr>
          <w:rFonts w:ascii="Calibri Light" w:hAnsi="Calibri Light" w:cs="Calibri Light"/>
          <w:sz w:val="24"/>
          <w:szCs w:val="24"/>
        </w:rPr>
        <w:t xml:space="preserve">DET </w:t>
      </w:r>
      <w:r w:rsidRPr="00780B2F">
        <w:rPr>
          <w:rFonts w:ascii="Calibri Light" w:hAnsi="Calibri Light" w:cs="Calibri Light"/>
          <w:sz w:val="24"/>
          <w:szCs w:val="24"/>
        </w:rPr>
        <w:t xml:space="preserve">update </w:t>
      </w:r>
      <w:r w:rsidR="00AC1899" w:rsidRPr="00780B2F">
        <w:rPr>
          <w:rFonts w:ascii="Calibri Light" w:hAnsi="Calibri Light" w:cs="Calibri Light"/>
          <w:sz w:val="24"/>
          <w:szCs w:val="24"/>
        </w:rPr>
        <w:t>late</w:t>
      </w:r>
      <w:r w:rsidRPr="00780B2F">
        <w:rPr>
          <w:rFonts w:ascii="Calibri Light" w:hAnsi="Calibri Light" w:cs="Calibri Light"/>
          <w:sz w:val="24"/>
          <w:szCs w:val="24"/>
        </w:rPr>
        <w:t xml:space="preserve"> April 201</w:t>
      </w:r>
      <w:r w:rsidR="00AC1899" w:rsidRPr="00780B2F">
        <w:rPr>
          <w:rFonts w:ascii="Calibri Light" w:hAnsi="Calibri Light" w:cs="Calibri Light"/>
          <w:sz w:val="24"/>
          <w:szCs w:val="24"/>
        </w:rPr>
        <w:t>7</w:t>
      </w:r>
      <w:r w:rsidRPr="00780B2F">
        <w:rPr>
          <w:rFonts w:ascii="Calibri Light" w:hAnsi="Calibri Light" w:cs="Calibri Light"/>
          <w:sz w:val="24"/>
          <w:szCs w:val="24"/>
        </w:rPr>
        <w:t>).</w:t>
      </w:r>
    </w:p>
    <w:p w:rsidR="00D716D0" w:rsidRPr="00780B2F" w:rsidRDefault="00D716D0" w:rsidP="00AC1899">
      <w:pPr>
        <w:ind w:right="521" w:firstLine="426"/>
        <w:jc w:val="both"/>
        <w:rPr>
          <w:rFonts w:ascii="Calibri Light" w:hAnsi="Calibri Light" w:cs="Calibri Light"/>
          <w:sz w:val="24"/>
          <w:szCs w:val="24"/>
        </w:rPr>
      </w:pPr>
    </w:p>
    <w:p w:rsidR="00FB6906" w:rsidRPr="00780B2F" w:rsidRDefault="00FB6906" w:rsidP="00FB6906">
      <w:pPr>
        <w:tabs>
          <w:tab w:val="left" w:pos="284"/>
          <w:tab w:val="left" w:pos="567"/>
        </w:tabs>
        <w:ind w:right="521"/>
        <w:jc w:val="both"/>
        <w:rPr>
          <w:rStyle w:val="SubtleReference"/>
          <w:rFonts w:cs="Calibri Light"/>
          <w:szCs w:val="24"/>
        </w:rPr>
      </w:pPr>
      <w:r w:rsidRPr="00780B2F">
        <w:rPr>
          <w:rStyle w:val="SubtleReference"/>
          <w:rFonts w:cs="Calibri Light"/>
          <w:szCs w:val="24"/>
        </w:rPr>
        <w:t>Ratification</w:t>
      </w:r>
    </w:p>
    <w:p w:rsidR="00D716D0" w:rsidRPr="00780B2F" w:rsidRDefault="00D716D0" w:rsidP="00FB6906">
      <w:pPr>
        <w:tabs>
          <w:tab w:val="left" w:pos="284"/>
          <w:tab w:val="left" w:pos="567"/>
        </w:tabs>
        <w:ind w:right="521"/>
        <w:jc w:val="both"/>
        <w:rPr>
          <w:rFonts w:ascii="Calibri Light" w:hAnsi="Calibri Light" w:cs="Calibri Light"/>
          <w:smallCaps/>
          <w:sz w:val="24"/>
          <w:szCs w:val="24"/>
          <w:u w:val="single"/>
        </w:rPr>
      </w:pPr>
      <w:r w:rsidRPr="00780B2F">
        <w:rPr>
          <w:rFonts w:ascii="Calibri Light" w:hAnsi="Calibri Light" w:cs="Calibri Light"/>
          <w:sz w:val="24"/>
          <w:szCs w:val="24"/>
        </w:rPr>
        <w:t xml:space="preserve">This </w:t>
      </w:r>
      <w:r w:rsidR="00AC1899" w:rsidRPr="00780B2F">
        <w:rPr>
          <w:rFonts w:ascii="Calibri Light" w:hAnsi="Calibri Light" w:cs="Calibri Light"/>
          <w:sz w:val="24"/>
          <w:szCs w:val="24"/>
        </w:rPr>
        <w:t>update</w:t>
      </w:r>
      <w:r w:rsidRPr="00780B2F">
        <w:rPr>
          <w:rFonts w:ascii="Calibri Light" w:hAnsi="Calibri Light" w:cs="Calibri Light"/>
          <w:sz w:val="24"/>
          <w:szCs w:val="24"/>
        </w:rPr>
        <w:t xml:space="preserve"> was ratified by </w:t>
      </w:r>
      <w:r w:rsidR="00C1220F" w:rsidRPr="00780B2F">
        <w:rPr>
          <w:rFonts w:ascii="Calibri Light" w:hAnsi="Calibri Light" w:cs="Calibri Light"/>
          <w:sz w:val="24"/>
          <w:szCs w:val="24"/>
        </w:rPr>
        <w:t>the College</w:t>
      </w:r>
      <w:r w:rsidRPr="00780B2F">
        <w:rPr>
          <w:rFonts w:ascii="Calibri Light" w:hAnsi="Calibri Light" w:cs="Calibri Light"/>
          <w:sz w:val="24"/>
          <w:szCs w:val="24"/>
        </w:rPr>
        <w:t xml:space="preserve"> Council </w:t>
      </w:r>
      <w:r w:rsidR="005E7F78" w:rsidRPr="00780B2F">
        <w:rPr>
          <w:rFonts w:ascii="Calibri Light" w:hAnsi="Calibri Light" w:cs="Calibri Light"/>
          <w:sz w:val="24"/>
          <w:szCs w:val="24"/>
        </w:rPr>
        <w:t>o</w:t>
      </w:r>
      <w:r w:rsidRPr="00780B2F">
        <w:rPr>
          <w:rFonts w:ascii="Calibri Light" w:hAnsi="Calibri Light" w:cs="Calibri Light"/>
          <w:sz w:val="24"/>
          <w:szCs w:val="24"/>
        </w:rPr>
        <w:t xml:space="preserve">n </w:t>
      </w:r>
      <w:r w:rsidR="00FB6906" w:rsidRPr="00780B2F">
        <w:rPr>
          <w:rFonts w:ascii="Calibri Light" w:hAnsi="Calibri Light" w:cs="Calibri Light"/>
          <w:sz w:val="24"/>
          <w:szCs w:val="24"/>
        </w:rPr>
        <w:t>15</w:t>
      </w:r>
      <w:r w:rsidR="00FB6906" w:rsidRPr="00780B2F">
        <w:rPr>
          <w:rFonts w:ascii="Calibri Light" w:hAnsi="Calibri Light" w:cs="Calibri Light"/>
          <w:sz w:val="24"/>
          <w:szCs w:val="24"/>
          <w:vertAlign w:val="superscript"/>
        </w:rPr>
        <w:t>th</w:t>
      </w:r>
      <w:r w:rsidR="00FB6906" w:rsidRPr="00780B2F">
        <w:rPr>
          <w:rFonts w:ascii="Calibri Light" w:hAnsi="Calibri Light" w:cs="Calibri Light"/>
          <w:sz w:val="24"/>
          <w:szCs w:val="24"/>
        </w:rPr>
        <w:t xml:space="preserve"> </w:t>
      </w:r>
      <w:proofErr w:type="gramStart"/>
      <w:r w:rsidR="00FB6906" w:rsidRPr="00780B2F">
        <w:rPr>
          <w:rFonts w:ascii="Calibri Light" w:hAnsi="Calibri Light" w:cs="Calibri Light"/>
          <w:sz w:val="24"/>
          <w:szCs w:val="24"/>
        </w:rPr>
        <w:t>February,</w:t>
      </w:r>
      <w:proofErr w:type="gramEnd"/>
      <w:r w:rsidR="00FB6906" w:rsidRPr="00780B2F">
        <w:rPr>
          <w:rFonts w:ascii="Calibri Light" w:hAnsi="Calibri Light" w:cs="Calibri Light"/>
          <w:sz w:val="24"/>
          <w:szCs w:val="24"/>
        </w:rPr>
        <w:t xml:space="preserve"> 2018.</w:t>
      </w:r>
    </w:p>
    <w:p w:rsidR="00D716D0" w:rsidRPr="00780B2F" w:rsidRDefault="00D716D0" w:rsidP="00AC1899">
      <w:pPr>
        <w:ind w:right="521" w:firstLine="426"/>
        <w:rPr>
          <w:rFonts w:ascii="Calibri Light" w:hAnsi="Calibri Light" w:cs="Calibri Light"/>
          <w:sz w:val="24"/>
          <w:szCs w:val="24"/>
        </w:rPr>
      </w:pPr>
    </w:p>
    <w:p w:rsidR="00D716D0" w:rsidRPr="00780B2F" w:rsidRDefault="00D716D0" w:rsidP="00FB6906">
      <w:pPr>
        <w:tabs>
          <w:tab w:val="left" w:pos="284"/>
          <w:tab w:val="left" w:pos="567"/>
        </w:tabs>
        <w:ind w:right="521"/>
        <w:jc w:val="both"/>
        <w:rPr>
          <w:rStyle w:val="SubtleReference"/>
          <w:rFonts w:cs="Calibri Light"/>
          <w:szCs w:val="24"/>
        </w:rPr>
      </w:pPr>
      <w:r w:rsidRPr="00780B2F">
        <w:rPr>
          <w:rStyle w:val="SubtleReference"/>
          <w:rFonts w:cs="Calibri Light"/>
          <w:szCs w:val="24"/>
        </w:rPr>
        <w:t>Reference</w:t>
      </w:r>
    </w:p>
    <w:p w:rsidR="00B3600D" w:rsidRPr="00780B2F" w:rsidRDefault="00D716D0" w:rsidP="00FB6906">
      <w:pPr>
        <w:tabs>
          <w:tab w:val="left" w:pos="284"/>
          <w:tab w:val="left" w:pos="567"/>
        </w:tabs>
        <w:ind w:right="521"/>
        <w:jc w:val="both"/>
        <w:rPr>
          <w:rFonts w:ascii="Calibri Light" w:hAnsi="Calibri Light" w:cs="Calibri Light"/>
          <w:sz w:val="24"/>
          <w:szCs w:val="24"/>
        </w:rPr>
      </w:pPr>
      <w:r w:rsidRPr="00780B2F">
        <w:rPr>
          <w:rFonts w:ascii="Calibri Light" w:hAnsi="Calibri Light" w:cs="Calibri Light"/>
          <w:sz w:val="24"/>
          <w:szCs w:val="24"/>
        </w:rPr>
        <w:t>www.education.vic.gov.au/school/principals/spag/finance/pages/taxation.aspx</w:t>
      </w:r>
    </w:p>
    <w:sectPr w:rsidR="00B3600D" w:rsidRPr="00780B2F" w:rsidSect="002252ED">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6000" w:rsidRDefault="00B76000" w:rsidP="00B4068A">
      <w:r>
        <w:separator/>
      </w:r>
    </w:p>
  </w:endnote>
  <w:endnote w:type="continuationSeparator" w:id="0">
    <w:p w:rsidR="00B76000" w:rsidRDefault="00B76000" w:rsidP="00B40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6549557"/>
      <w:docPartObj>
        <w:docPartGallery w:val="Page Numbers (Bottom of Page)"/>
        <w:docPartUnique/>
      </w:docPartObj>
    </w:sdtPr>
    <w:sdtEndPr>
      <w:rPr>
        <w:noProof/>
      </w:rPr>
    </w:sdtEndPr>
    <w:sdtContent>
      <w:p w:rsidR="00B4068A" w:rsidRDefault="00B4068A" w:rsidP="00FB6906">
        <w:pPr>
          <w:pStyle w:val="Footer"/>
        </w:pPr>
        <w:r>
          <w:fldChar w:fldCharType="begin"/>
        </w:r>
        <w:r>
          <w:instrText xml:space="preserve"> PAGE   \* MERGEFORMAT </w:instrText>
        </w:r>
        <w:r>
          <w:fldChar w:fldCharType="separate"/>
        </w:r>
        <w:r w:rsidR="00780B2F">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6000" w:rsidRDefault="00B76000" w:rsidP="00B4068A">
      <w:r>
        <w:separator/>
      </w:r>
    </w:p>
  </w:footnote>
  <w:footnote w:type="continuationSeparator" w:id="0">
    <w:p w:rsidR="00B76000" w:rsidRDefault="00B76000" w:rsidP="00B406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Look w:val="04A0" w:firstRow="1" w:lastRow="0" w:firstColumn="1" w:lastColumn="0" w:noHBand="0" w:noVBand="1"/>
    </w:tblPr>
    <w:tblGrid>
      <w:gridCol w:w="6515"/>
      <w:gridCol w:w="2501"/>
    </w:tblGrid>
    <w:tr w:rsidR="00B4068A" w:rsidTr="00001CC9">
      <w:trPr>
        <w:trHeight w:val="1691"/>
      </w:trPr>
      <w:tc>
        <w:tcPr>
          <w:tcW w:w="6912" w:type="dxa"/>
          <w:vAlign w:val="center"/>
        </w:tcPr>
        <w:p w:rsidR="00B4068A" w:rsidRPr="00001CC9" w:rsidRDefault="00B4068A" w:rsidP="00001CC9">
          <w:pPr>
            <w:jc w:val="center"/>
            <w:rPr>
              <w:rFonts w:asciiTheme="minorHAnsi" w:hAnsiTheme="minorHAnsi"/>
              <w:sz w:val="32"/>
            </w:rPr>
          </w:pPr>
          <w:r w:rsidRPr="00001CC9">
            <w:rPr>
              <w:rFonts w:asciiTheme="minorHAnsi" w:hAnsiTheme="minorHAnsi"/>
              <w:sz w:val="32"/>
            </w:rPr>
            <w:t>FRINGE BENEFITS TAX</w:t>
          </w:r>
        </w:p>
        <w:p w:rsidR="00B4068A" w:rsidRPr="00314CD7" w:rsidRDefault="00B4068A" w:rsidP="00001CC9">
          <w:pPr>
            <w:jc w:val="center"/>
          </w:pPr>
          <w:r w:rsidRPr="00001CC9">
            <w:rPr>
              <w:rFonts w:asciiTheme="minorHAnsi" w:hAnsiTheme="minorHAnsi"/>
              <w:sz w:val="32"/>
            </w:rPr>
            <w:t>(Taxation Compliance) POLICY</w:t>
          </w:r>
        </w:p>
      </w:tc>
      <w:tc>
        <w:tcPr>
          <w:tcW w:w="2694" w:type="dxa"/>
        </w:tcPr>
        <w:p w:rsidR="00B4068A" w:rsidRDefault="00B4068A" w:rsidP="00B4068A">
          <w:pPr>
            <w:pStyle w:val="Title"/>
            <w:jc w:val="right"/>
          </w:pPr>
          <w:r>
            <w:rPr>
              <w:noProof/>
            </w:rPr>
            <w:drawing>
              <wp:anchor distT="0" distB="0" distL="114300" distR="114300" simplePos="0" relativeHeight="251659264" behindDoc="0" locked="0" layoutInCell="1" allowOverlap="1" wp14:anchorId="64A2973B" wp14:editId="4C908D8C">
                <wp:simplePos x="0" y="0"/>
                <wp:positionH relativeFrom="column">
                  <wp:posOffset>324485</wp:posOffset>
                </wp:positionH>
                <wp:positionV relativeFrom="paragraph">
                  <wp:posOffset>59055</wp:posOffset>
                </wp:positionV>
                <wp:extent cx="908322" cy="952500"/>
                <wp:effectExtent l="0" t="0" r="635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908322" cy="952500"/>
                        </a:xfrm>
                        <a:prstGeom prst="rect">
                          <a:avLst/>
                        </a:prstGeom>
                      </pic:spPr>
                    </pic:pic>
                  </a:graphicData>
                </a:graphic>
                <wp14:sizeRelH relativeFrom="page">
                  <wp14:pctWidth>0</wp14:pctWidth>
                </wp14:sizeRelH>
                <wp14:sizeRelV relativeFrom="page">
                  <wp14:pctHeight>0</wp14:pctHeight>
                </wp14:sizeRelV>
              </wp:anchor>
            </w:drawing>
          </w:r>
        </w:p>
      </w:tc>
    </w:tr>
  </w:tbl>
  <w:p w:rsidR="00B4068A" w:rsidRDefault="00B406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01827"/>
    <w:multiLevelType w:val="hybridMultilevel"/>
    <w:tmpl w:val="91DABA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941AB4"/>
    <w:multiLevelType w:val="hybridMultilevel"/>
    <w:tmpl w:val="37562D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BC5D9E"/>
    <w:multiLevelType w:val="hybridMultilevel"/>
    <w:tmpl w:val="6332E7A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 w15:restartNumberingAfterBreak="0">
    <w:nsid w:val="0BE32410"/>
    <w:multiLevelType w:val="hybridMultilevel"/>
    <w:tmpl w:val="84F87C3C"/>
    <w:lvl w:ilvl="0" w:tplc="2436723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096AB8"/>
    <w:multiLevelType w:val="hybridMultilevel"/>
    <w:tmpl w:val="CE02CA84"/>
    <w:lvl w:ilvl="0" w:tplc="2436723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4A65BB6"/>
    <w:multiLevelType w:val="hybridMultilevel"/>
    <w:tmpl w:val="613487F0"/>
    <w:lvl w:ilvl="0" w:tplc="0C090001">
      <w:start w:val="1"/>
      <w:numFmt w:val="bullet"/>
      <w:lvlText w:val=""/>
      <w:lvlJc w:val="left"/>
      <w:pPr>
        <w:ind w:left="1713" w:hanging="360"/>
      </w:pPr>
      <w:rPr>
        <w:rFonts w:ascii="Symbol" w:hAnsi="Symbol" w:hint="default"/>
      </w:rPr>
    </w:lvl>
    <w:lvl w:ilvl="1" w:tplc="0C090003" w:tentative="1">
      <w:start w:val="1"/>
      <w:numFmt w:val="bullet"/>
      <w:lvlText w:val="o"/>
      <w:lvlJc w:val="left"/>
      <w:pPr>
        <w:ind w:left="2433" w:hanging="360"/>
      </w:pPr>
      <w:rPr>
        <w:rFonts w:ascii="Courier New" w:hAnsi="Courier New" w:cs="Courier New" w:hint="default"/>
      </w:rPr>
    </w:lvl>
    <w:lvl w:ilvl="2" w:tplc="0C090005" w:tentative="1">
      <w:start w:val="1"/>
      <w:numFmt w:val="bullet"/>
      <w:lvlText w:val=""/>
      <w:lvlJc w:val="left"/>
      <w:pPr>
        <w:ind w:left="3153" w:hanging="360"/>
      </w:pPr>
      <w:rPr>
        <w:rFonts w:ascii="Wingdings" w:hAnsi="Wingdings" w:hint="default"/>
      </w:rPr>
    </w:lvl>
    <w:lvl w:ilvl="3" w:tplc="0C090001" w:tentative="1">
      <w:start w:val="1"/>
      <w:numFmt w:val="bullet"/>
      <w:lvlText w:val=""/>
      <w:lvlJc w:val="left"/>
      <w:pPr>
        <w:ind w:left="3873" w:hanging="360"/>
      </w:pPr>
      <w:rPr>
        <w:rFonts w:ascii="Symbol" w:hAnsi="Symbol" w:hint="default"/>
      </w:rPr>
    </w:lvl>
    <w:lvl w:ilvl="4" w:tplc="0C090003" w:tentative="1">
      <w:start w:val="1"/>
      <w:numFmt w:val="bullet"/>
      <w:lvlText w:val="o"/>
      <w:lvlJc w:val="left"/>
      <w:pPr>
        <w:ind w:left="4593" w:hanging="360"/>
      </w:pPr>
      <w:rPr>
        <w:rFonts w:ascii="Courier New" w:hAnsi="Courier New" w:cs="Courier New" w:hint="default"/>
      </w:rPr>
    </w:lvl>
    <w:lvl w:ilvl="5" w:tplc="0C090005" w:tentative="1">
      <w:start w:val="1"/>
      <w:numFmt w:val="bullet"/>
      <w:lvlText w:val=""/>
      <w:lvlJc w:val="left"/>
      <w:pPr>
        <w:ind w:left="5313" w:hanging="360"/>
      </w:pPr>
      <w:rPr>
        <w:rFonts w:ascii="Wingdings" w:hAnsi="Wingdings" w:hint="default"/>
      </w:rPr>
    </w:lvl>
    <w:lvl w:ilvl="6" w:tplc="0C090001" w:tentative="1">
      <w:start w:val="1"/>
      <w:numFmt w:val="bullet"/>
      <w:lvlText w:val=""/>
      <w:lvlJc w:val="left"/>
      <w:pPr>
        <w:ind w:left="6033" w:hanging="360"/>
      </w:pPr>
      <w:rPr>
        <w:rFonts w:ascii="Symbol" w:hAnsi="Symbol" w:hint="default"/>
      </w:rPr>
    </w:lvl>
    <w:lvl w:ilvl="7" w:tplc="0C090003" w:tentative="1">
      <w:start w:val="1"/>
      <w:numFmt w:val="bullet"/>
      <w:lvlText w:val="o"/>
      <w:lvlJc w:val="left"/>
      <w:pPr>
        <w:ind w:left="6753" w:hanging="360"/>
      </w:pPr>
      <w:rPr>
        <w:rFonts w:ascii="Courier New" w:hAnsi="Courier New" w:cs="Courier New" w:hint="default"/>
      </w:rPr>
    </w:lvl>
    <w:lvl w:ilvl="8" w:tplc="0C090005" w:tentative="1">
      <w:start w:val="1"/>
      <w:numFmt w:val="bullet"/>
      <w:lvlText w:val=""/>
      <w:lvlJc w:val="left"/>
      <w:pPr>
        <w:ind w:left="7473" w:hanging="360"/>
      </w:pPr>
      <w:rPr>
        <w:rFonts w:ascii="Wingdings" w:hAnsi="Wingdings" w:hint="default"/>
      </w:rPr>
    </w:lvl>
  </w:abstractNum>
  <w:abstractNum w:abstractNumId="6" w15:restartNumberingAfterBreak="0">
    <w:nsid w:val="159F2F6C"/>
    <w:multiLevelType w:val="hybridMultilevel"/>
    <w:tmpl w:val="F460C7B2"/>
    <w:lvl w:ilvl="0" w:tplc="7E502A3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80E7E7B"/>
    <w:multiLevelType w:val="hybridMultilevel"/>
    <w:tmpl w:val="FC1A1B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9307AE5"/>
    <w:multiLevelType w:val="hybridMultilevel"/>
    <w:tmpl w:val="FF82D432"/>
    <w:lvl w:ilvl="0" w:tplc="2436723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9767C38"/>
    <w:multiLevelType w:val="hybridMultilevel"/>
    <w:tmpl w:val="8542B2F2"/>
    <w:lvl w:ilvl="0" w:tplc="0C090001">
      <w:start w:val="1"/>
      <w:numFmt w:val="bullet"/>
      <w:lvlText w:val=""/>
      <w:lvlJc w:val="left"/>
      <w:pPr>
        <w:ind w:left="862" w:hanging="360"/>
      </w:pPr>
      <w:rPr>
        <w:rFonts w:ascii="Symbol" w:hAnsi="Symbol" w:hint="default"/>
        <w:i/>
      </w:r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0" w15:restartNumberingAfterBreak="0">
    <w:nsid w:val="1B0D6F81"/>
    <w:multiLevelType w:val="hybridMultilevel"/>
    <w:tmpl w:val="FE92B3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CC01636"/>
    <w:multiLevelType w:val="hybridMultilevel"/>
    <w:tmpl w:val="9564B4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D3D67DE"/>
    <w:multiLevelType w:val="hybridMultilevel"/>
    <w:tmpl w:val="1A044E18"/>
    <w:lvl w:ilvl="0" w:tplc="0C090001">
      <w:start w:val="1"/>
      <w:numFmt w:val="bullet"/>
      <w:lvlText w:val=""/>
      <w:lvlJc w:val="left"/>
      <w:pPr>
        <w:ind w:left="1545" w:hanging="360"/>
      </w:pPr>
      <w:rPr>
        <w:rFonts w:ascii="Symbol" w:hAnsi="Symbol" w:hint="default"/>
      </w:rPr>
    </w:lvl>
    <w:lvl w:ilvl="1" w:tplc="0C090003" w:tentative="1">
      <w:start w:val="1"/>
      <w:numFmt w:val="bullet"/>
      <w:lvlText w:val="o"/>
      <w:lvlJc w:val="left"/>
      <w:pPr>
        <w:ind w:left="2265" w:hanging="360"/>
      </w:pPr>
      <w:rPr>
        <w:rFonts w:ascii="Courier New" w:hAnsi="Courier New" w:cs="Courier New" w:hint="default"/>
      </w:rPr>
    </w:lvl>
    <w:lvl w:ilvl="2" w:tplc="0C090005" w:tentative="1">
      <w:start w:val="1"/>
      <w:numFmt w:val="bullet"/>
      <w:lvlText w:val=""/>
      <w:lvlJc w:val="left"/>
      <w:pPr>
        <w:ind w:left="2985" w:hanging="360"/>
      </w:pPr>
      <w:rPr>
        <w:rFonts w:ascii="Wingdings" w:hAnsi="Wingdings" w:hint="default"/>
      </w:rPr>
    </w:lvl>
    <w:lvl w:ilvl="3" w:tplc="0C090001" w:tentative="1">
      <w:start w:val="1"/>
      <w:numFmt w:val="bullet"/>
      <w:lvlText w:val=""/>
      <w:lvlJc w:val="left"/>
      <w:pPr>
        <w:ind w:left="3705" w:hanging="360"/>
      </w:pPr>
      <w:rPr>
        <w:rFonts w:ascii="Symbol" w:hAnsi="Symbol" w:hint="default"/>
      </w:rPr>
    </w:lvl>
    <w:lvl w:ilvl="4" w:tplc="0C090003" w:tentative="1">
      <w:start w:val="1"/>
      <w:numFmt w:val="bullet"/>
      <w:lvlText w:val="o"/>
      <w:lvlJc w:val="left"/>
      <w:pPr>
        <w:ind w:left="4425" w:hanging="360"/>
      </w:pPr>
      <w:rPr>
        <w:rFonts w:ascii="Courier New" w:hAnsi="Courier New" w:cs="Courier New" w:hint="default"/>
      </w:rPr>
    </w:lvl>
    <w:lvl w:ilvl="5" w:tplc="0C090005" w:tentative="1">
      <w:start w:val="1"/>
      <w:numFmt w:val="bullet"/>
      <w:lvlText w:val=""/>
      <w:lvlJc w:val="left"/>
      <w:pPr>
        <w:ind w:left="5145" w:hanging="360"/>
      </w:pPr>
      <w:rPr>
        <w:rFonts w:ascii="Wingdings" w:hAnsi="Wingdings" w:hint="default"/>
      </w:rPr>
    </w:lvl>
    <w:lvl w:ilvl="6" w:tplc="0C090001" w:tentative="1">
      <w:start w:val="1"/>
      <w:numFmt w:val="bullet"/>
      <w:lvlText w:val=""/>
      <w:lvlJc w:val="left"/>
      <w:pPr>
        <w:ind w:left="5865" w:hanging="360"/>
      </w:pPr>
      <w:rPr>
        <w:rFonts w:ascii="Symbol" w:hAnsi="Symbol" w:hint="default"/>
      </w:rPr>
    </w:lvl>
    <w:lvl w:ilvl="7" w:tplc="0C090003" w:tentative="1">
      <w:start w:val="1"/>
      <w:numFmt w:val="bullet"/>
      <w:lvlText w:val="o"/>
      <w:lvlJc w:val="left"/>
      <w:pPr>
        <w:ind w:left="6585" w:hanging="360"/>
      </w:pPr>
      <w:rPr>
        <w:rFonts w:ascii="Courier New" w:hAnsi="Courier New" w:cs="Courier New" w:hint="default"/>
      </w:rPr>
    </w:lvl>
    <w:lvl w:ilvl="8" w:tplc="0C090005" w:tentative="1">
      <w:start w:val="1"/>
      <w:numFmt w:val="bullet"/>
      <w:lvlText w:val=""/>
      <w:lvlJc w:val="left"/>
      <w:pPr>
        <w:ind w:left="7305" w:hanging="360"/>
      </w:pPr>
      <w:rPr>
        <w:rFonts w:ascii="Wingdings" w:hAnsi="Wingdings" w:hint="default"/>
      </w:rPr>
    </w:lvl>
  </w:abstractNum>
  <w:abstractNum w:abstractNumId="13" w15:restartNumberingAfterBreak="0">
    <w:nsid w:val="20C273DF"/>
    <w:multiLevelType w:val="hybridMultilevel"/>
    <w:tmpl w:val="1CB46954"/>
    <w:lvl w:ilvl="0" w:tplc="D062F624">
      <w:start w:val="1"/>
      <w:numFmt w:val="bullet"/>
      <w:lvlText w:val=""/>
      <w:lvlJc w:val="left"/>
      <w:pPr>
        <w:ind w:left="720" w:hanging="360"/>
      </w:pPr>
      <w:rPr>
        <w:rFonts w:ascii="Wingdings 2" w:hAnsi="Wingdings 2"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17246D1"/>
    <w:multiLevelType w:val="hybridMultilevel"/>
    <w:tmpl w:val="14FED8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1BA0E10"/>
    <w:multiLevelType w:val="hybridMultilevel"/>
    <w:tmpl w:val="6F5482E2"/>
    <w:lvl w:ilvl="0" w:tplc="7E502A3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A0E1E76"/>
    <w:multiLevelType w:val="hybridMultilevel"/>
    <w:tmpl w:val="9A10F5BA"/>
    <w:lvl w:ilvl="0" w:tplc="2436723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D6E0DC0"/>
    <w:multiLevelType w:val="hybridMultilevel"/>
    <w:tmpl w:val="453A4BB6"/>
    <w:lvl w:ilvl="0" w:tplc="0C090001">
      <w:start w:val="1"/>
      <w:numFmt w:val="bullet"/>
      <w:lvlText w:val=""/>
      <w:lvlJc w:val="left"/>
      <w:pPr>
        <w:ind w:left="1713" w:hanging="360"/>
      </w:pPr>
      <w:rPr>
        <w:rFonts w:ascii="Symbol" w:hAnsi="Symbol" w:hint="default"/>
      </w:rPr>
    </w:lvl>
    <w:lvl w:ilvl="1" w:tplc="0C090003" w:tentative="1">
      <w:start w:val="1"/>
      <w:numFmt w:val="bullet"/>
      <w:lvlText w:val="o"/>
      <w:lvlJc w:val="left"/>
      <w:pPr>
        <w:ind w:left="2433" w:hanging="360"/>
      </w:pPr>
      <w:rPr>
        <w:rFonts w:ascii="Courier New" w:hAnsi="Courier New" w:cs="Courier New" w:hint="default"/>
      </w:rPr>
    </w:lvl>
    <w:lvl w:ilvl="2" w:tplc="0C090005" w:tentative="1">
      <w:start w:val="1"/>
      <w:numFmt w:val="bullet"/>
      <w:lvlText w:val=""/>
      <w:lvlJc w:val="left"/>
      <w:pPr>
        <w:ind w:left="3153" w:hanging="360"/>
      </w:pPr>
      <w:rPr>
        <w:rFonts w:ascii="Wingdings" w:hAnsi="Wingdings" w:hint="default"/>
      </w:rPr>
    </w:lvl>
    <w:lvl w:ilvl="3" w:tplc="0C090001" w:tentative="1">
      <w:start w:val="1"/>
      <w:numFmt w:val="bullet"/>
      <w:lvlText w:val=""/>
      <w:lvlJc w:val="left"/>
      <w:pPr>
        <w:ind w:left="3873" w:hanging="360"/>
      </w:pPr>
      <w:rPr>
        <w:rFonts w:ascii="Symbol" w:hAnsi="Symbol" w:hint="default"/>
      </w:rPr>
    </w:lvl>
    <w:lvl w:ilvl="4" w:tplc="0C090003" w:tentative="1">
      <w:start w:val="1"/>
      <w:numFmt w:val="bullet"/>
      <w:lvlText w:val="o"/>
      <w:lvlJc w:val="left"/>
      <w:pPr>
        <w:ind w:left="4593" w:hanging="360"/>
      </w:pPr>
      <w:rPr>
        <w:rFonts w:ascii="Courier New" w:hAnsi="Courier New" w:cs="Courier New" w:hint="default"/>
      </w:rPr>
    </w:lvl>
    <w:lvl w:ilvl="5" w:tplc="0C090005" w:tentative="1">
      <w:start w:val="1"/>
      <w:numFmt w:val="bullet"/>
      <w:lvlText w:val=""/>
      <w:lvlJc w:val="left"/>
      <w:pPr>
        <w:ind w:left="5313" w:hanging="360"/>
      </w:pPr>
      <w:rPr>
        <w:rFonts w:ascii="Wingdings" w:hAnsi="Wingdings" w:hint="default"/>
      </w:rPr>
    </w:lvl>
    <w:lvl w:ilvl="6" w:tplc="0C090001" w:tentative="1">
      <w:start w:val="1"/>
      <w:numFmt w:val="bullet"/>
      <w:lvlText w:val=""/>
      <w:lvlJc w:val="left"/>
      <w:pPr>
        <w:ind w:left="6033" w:hanging="360"/>
      </w:pPr>
      <w:rPr>
        <w:rFonts w:ascii="Symbol" w:hAnsi="Symbol" w:hint="default"/>
      </w:rPr>
    </w:lvl>
    <w:lvl w:ilvl="7" w:tplc="0C090003" w:tentative="1">
      <w:start w:val="1"/>
      <w:numFmt w:val="bullet"/>
      <w:lvlText w:val="o"/>
      <w:lvlJc w:val="left"/>
      <w:pPr>
        <w:ind w:left="6753" w:hanging="360"/>
      </w:pPr>
      <w:rPr>
        <w:rFonts w:ascii="Courier New" w:hAnsi="Courier New" w:cs="Courier New" w:hint="default"/>
      </w:rPr>
    </w:lvl>
    <w:lvl w:ilvl="8" w:tplc="0C090005" w:tentative="1">
      <w:start w:val="1"/>
      <w:numFmt w:val="bullet"/>
      <w:lvlText w:val=""/>
      <w:lvlJc w:val="left"/>
      <w:pPr>
        <w:ind w:left="7473" w:hanging="360"/>
      </w:pPr>
      <w:rPr>
        <w:rFonts w:ascii="Wingdings" w:hAnsi="Wingdings" w:hint="default"/>
      </w:rPr>
    </w:lvl>
  </w:abstractNum>
  <w:abstractNum w:abstractNumId="18" w15:restartNumberingAfterBreak="0">
    <w:nsid w:val="2DDF04F8"/>
    <w:multiLevelType w:val="hybridMultilevel"/>
    <w:tmpl w:val="8FECD484"/>
    <w:lvl w:ilvl="0" w:tplc="73FE762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02B1DFB"/>
    <w:multiLevelType w:val="hybridMultilevel"/>
    <w:tmpl w:val="D8C6A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1C630C5"/>
    <w:multiLevelType w:val="hybridMultilevel"/>
    <w:tmpl w:val="7C72C8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32E22E6"/>
    <w:multiLevelType w:val="hybridMultilevel"/>
    <w:tmpl w:val="FF82CC6A"/>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22" w15:restartNumberingAfterBreak="0">
    <w:nsid w:val="370C7F54"/>
    <w:multiLevelType w:val="hybridMultilevel"/>
    <w:tmpl w:val="3E7814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72E2BC6"/>
    <w:multiLevelType w:val="hybridMultilevel"/>
    <w:tmpl w:val="1838A59C"/>
    <w:lvl w:ilvl="0" w:tplc="7E502A3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91061B3"/>
    <w:multiLevelType w:val="hybridMultilevel"/>
    <w:tmpl w:val="AB1837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A34096D"/>
    <w:multiLevelType w:val="hybridMultilevel"/>
    <w:tmpl w:val="960E3E06"/>
    <w:lvl w:ilvl="0" w:tplc="2436723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CA96995"/>
    <w:multiLevelType w:val="hybridMultilevel"/>
    <w:tmpl w:val="B0842E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D1F1932"/>
    <w:multiLevelType w:val="hybridMultilevel"/>
    <w:tmpl w:val="8548BFF8"/>
    <w:lvl w:ilvl="0" w:tplc="0C090001">
      <w:start w:val="1"/>
      <w:numFmt w:val="bullet"/>
      <w:lvlText w:val=""/>
      <w:lvlJc w:val="left"/>
      <w:pPr>
        <w:ind w:left="862" w:hanging="360"/>
      </w:pPr>
      <w:rPr>
        <w:rFonts w:ascii="Symbol" w:hAnsi="Symbol" w:hint="default"/>
        <w:i/>
      </w:r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28" w15:restartNumberingAfterBreak="0">
    <w:nsid w:val="45190280"/>
    <w:multiLevelType w:val="hybridMultilevel"/>
    <w:tmpl w:val="1466FF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DD06BF0"/>
    <w:multiLevelType w:val="hybridMultilevel"/>
    <w:tmpl w:val="2C9EEEEC"/>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30" w15:restartNumberingAfterBreak="0">
    <w:nsid w:val="5299086B"/>
    <w:multiLevelType w:val="hybridMultilevel"/>
    <w:tmpl w:val="204C4888"/>
    <w:lvl w:ilvl="0" w:tplc="7E502A3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3BB6629"/>
    <w:multiLevelType w:val="hybridMultilevel"/>
    <w:tmpl w:val="DD6C07AE"/>
    <w:lvl w:ilvl="0" w:tplc="0C090001">
      <w:start w:val="1"/>
      <w:numFmt w:val="bullet"/>
      <w:lvlText w:val=""/>
      <w:lvlJc w:val="left"/>
      <w:pPr>
        <w:ind w:left="1211" w:hanging="360"/>
      </w:pPr>
      <w:rPr>
        <w:rFonts w:ascii="Symbol" w:hAnsi="Symbol"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32" w15:restartNumberingAfterBreak="0">
    <w:nsid w:val="583360D4"/>
    <w:multiLevelType w:val="hybridMultilevel"/>
    <w:tmpl w:val="820C72F2"/>
    <w:lvl w:ilvl="0" w:tplc="73FE762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9600C23"/>
    <w:multiLevelType w:val="hybridMultilevel"/>
    <w:tmpl w:val="849CC404"/>
    <w:lvl w:ilvl="0" w:tplc="24367232">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34" w15:restartNumberingAfterBreak="0">
    <w:nsid w:val="5B686F0C"/>
    <w:multiLevelType w:val="hybridMultilevel"/>
    <w:tmpl w:val="B9CEA66C"/>
    <w:lvl w:ilvl="0" w:tplc="2436723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E605CCB"/>
    <w:multiLevelType w:val="hybridMultilevel"/>
    <w:tmpl w:val="26F4E954"/>
    <w:lvl w:ilvl="0" w:tplc="2436723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0224097"/>
    <w:multiLevelType w:val="hybridMultilevel"/>
    <w:tmpl w:val="66100F18"/>
    <w:lvl w:ilvl="0" w:tplc="2436723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2F064C8"/>
    <w:multiLevelType w:val="hybridMultilevel"/>
    <w:tmpl w:val="19F061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5C628A9"/>
    <w:multiLevelType w:val="hybridMultilevel"/>
    <w:tmpl w:val="2786AABA"/>
    <w:lvl w:ilvl="0" w:tplc="2436723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6BB4E8F"/>
    <w:multiLevelType w:val="hybridMultilevel"/>
    <w:tmpl w:val="26BC6CBE"/>
    <w:lvl w:ilvl="0" w:tplc="2436723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9F7694D"/>
    <w:multiLevelType w:val="hybridMultilevel"/>
    <w:tmpl w:val="FAB8F0B8"/>
    <w:lvl w:ilvl="0" w:tplc="7E502A3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AEB7ACD"/>
    <w:multiLevelType w:val="hybridMultilevel"/>
    <w:tmpl w:val="9B1ACC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6A02D6D"/>
    <w:multiLevelType w:val="hybridMultilevel"/>
    <w:tmpl w:val="C5BC3B3A"/>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43" w15:restartNumberingAfterBreak="0">
    <w:nsid w:val="77E3230F"/>
    <w:multiLevelType w:val="hybridMultilevel"/>
    <w:tmpl w:val="A25C4416"/>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4" w15:restartNumberingAfterBreak="0">
    <w:nsid w:val="79FA300A"/>
    <w:multiLevelType w:val="hybridMultilevel"/>
    <w:tmpl w:val="255A380A"/>
    <w:lvl w:ilvl="0" w:tplc="0C090001">
      <w:start w:val="1"/>
      <w:numFmt w:val="bullet"/>
      <w:lvlText w:val=""/>
      <w:lvlJc w:val="left"/>
      <w:pPr>
        <w:ind w:left="900" w:hanging="360"/>
      </w:pPr>
      <w:rPr>
        <w:rFonts w:ascii="Symbol" w:hAnsi="Symbol" w:hint="default"/>
      </w:rPr>
    </w:lvl>
    <w:lvl w:ilvl="1" w:tplc="0C090003" w:tentative="1">
      <w:start w:val="1"/>
      <w:numFmt w:val="bullet"/>
      <w:lvlText w:val="o"/>
      <w:lvlJc w:val="left"/>
      <w:pPr>
        <w:ind w:left="1620" w:hanging="360"/>
      </w:pPr>
      <w:rPr>
        <w:rFonts w:ascii="Courier New" w:hAnsi="Courier New" w:cs="Courier New" w:hint="default"/>
      </w:rPr>
    </w:lvl>
    <w:lvl w:ilvl="2" w:tplc="0C090005" w:tentative="1">
      <w:start w:val="1"/>
      <w:numFmt w:val="bullet"/>
      <w:lvlText w:val=""/>
      <w:lvlJc w:val="left"/>
      <w:pPr>
        <w:ind w:left="2340" w:hanging="360"/>
      </w:pPr>
      <w:rPr>
        <w:rFonts w:ascii="Wingdings" w:hAnsi="Wingdings" w:hint="default"/>
      </w:rPr>
    </w:lvl>
    <w:lvl w:ilvl="3" w:tplc="0C090001" w:tentative="1">
      <w:start w:val="1"/>
      <w:numFmt w:val="bullet"/>
      <w:lvlText w:val=""/>
      <w:lvlJc w:val="left"/>
      <w:pPr>
        <w:ind w:left="3060" w:hanging="360"/>
      </w:pPr>
      <w:rPr>
        <w:rFonts w:ascii="Symbol" w:hAnsi="Symbol" w:hint="default"/>
      </w:rPr>
    </w:lvl>
    <w:lvl w:ilvl="4" w:tplc="0C090003" w:tentative="1">
      <w:start w:val="1"/>
      <w:numFmt w:val="bullet"/>
      <w:lvlText w:val="o"/>
      <w:lvlJc w:val="left"/>
      <w:pPr>
        <w:ind w:left="3780" w:hanging="360"/>
      </w:pPr>
      <w:rPr>
        <w:rFonts w:ascii="Courier New" w:hAnsi="Courier New" w:cs="Courier New" w:hint="default"/>
      </w:rPr>
    </w:lvl>
    <w:lvl w:ilvl="5" w:tplc="0C090005" w:tentative="1">
      <w:start w:val="1"/>
      <w:numFmt w:val="bullet"/>
      <w:lvlText w:val=""/>
      <w:lvlJc w:val="left"/>
      <w:pPr>
        <w:ind w:left="4500" w:hanging="360"/>
      </w:pPr>
      <w:rPr>
        <w:rFonts w:ascii="Wingdings" w:hAnsi="Wingdings" w:hint="default"/>
      </w:rPr>
    </w:lvl>
    <w:lvl w:ilvl="6" w:tplc="0C090001" w:tentative="1">
      <w:start w:val="1"/>
      <w:numFmt w:val="bullet"/>
      <w:lvlText w:val=""/>
      <w:lvlJc w:val="left"/>
      <w:pPr>
        <w:ind w:left="5220" w:hanging="360"/>
      </w:pPr>
      <w:rPr>
        <w:rFonts w:ascii="Symbol" w:hAnsi="Symbol" w:hint="default"/>
      </w:rPr>
    </w:lvl>
    <w:lvl w:ilvl="7" w:tplc="0C090003" w:tentative="1">
      <w:start w:val="1"/>
      <w:numFmt w:val="bullet"/>
      <w:lvlText w:val="o"/>
      <w:lvlJc w:val="left"/>
      <w:pPr>
        <w:ind w:left="5940" w:hanging="360"/>
      </w:pPr>
      <w:rPr>
        <w:rFonts w:ascii="Courier New" w:hAnsi="Courier New" w:cs="Courier New" w:hint="default"/>
      </w:rPr>
    </w:lvl>
    <w:lvl w:ilvl="8" w:tplc="0C090005" w:tentative="1">
      <w:start w:val="1"/>
      <w:numFmt w:val="bullet"/>
      <w:lvlText w:val=""/>
      <w:lvlJc w:val="left"/>
      <w:pPr>
        <w:ind w:left="6660" w:hanging="360"/>
      </w:pPr>
      <w:rPr>
        <w:rFonts w:ascii="Wingdings" w:hAnsi="Wingdings" w:hint="default"/>
      </w:rPr>
    </w:lvl>
  </w:abstractNum>
  <w:num w:numId="1">
    <w:abstractNumId w:val="21"/>
  </w:num>
  <w:num w:numId="2">
    <w:abstractNumId w:val="17"/>
  </w:num>
  <w:num w:numId="3">
    <w:abstractNumId w:val="13"/>
  </w:num>
  <w:num w:numId="4">
    <w:abstractNumId w:val="34"/>
  </w:num>
  <w:num w:numId="5">
    <w:abstractNumId w:val="44"/>
  </w:num>
  <w:num w:numId="6">
    <w:abstractNumId w:val="9"/>
  </w:num>
  <w:num w:numId="7">
    <w:abstractNumId w:val="19"/>
  </w:num>
  <w:num w:numId="8">
    <w:abstractNumId w:val="33"/>
  </w:num>
  <w:num w:numId="9">
    <w:abstractNumId w:val="27"/>
  </w:num>
  <w:num w:numId="10">
    <w:abstractNumId w:val="2"/>
  </w:num>
  <w:num w:numId="11">
    <w:abstractNumId w:val="31"/>
  </w:num>
  <w:num w:numId="12">
    <w:abstractNumId w:val="25"/>
  </w:num>
  <w:num w:numId="13">
    <w:abstractNumId w:val="16"/>
  </w:num>
  <w:num w:numId="14">
    <w:abstractNumId w:val="39"/>
  </w:num>
  <w:num w:numId="15">
    <w:abstractNumId w:val="8"/>
  </w:num>
  <w:num w:numId="16">
    <w:abstractNumId w:val="14"/>
  </w:num>
  <w:num w:numId="17">
    <w:abstractNumId w:val="3"/>
  </w:num>
  <w:num w:numId="18">
    <w:abstractNumId w:val="42"/>
  </w:num>
  <w:num w:numId="19">
    <w:abstractNumId w:val="11"/>
  </w:num>
  <w:num w:numId="20">
    <w:abstractNumId w:val="38"/>
  </w:num>
  <w:num w:numId="21">
    <w:abstractNumId w:val="36"/>
  </w:num>
  <w:num w:numId="22">
    <w:abstractNumId w:val="37"/>
  </w:num>
  <w:num w:numId="23">
    <w:abstractNumId w:val="41"/>
  </w:num>
  <w:num w:numId="24">
    <w:abstractNumId w:val="1"/>
  </w:num>
  <w:num w:numId="25">
    <w:abstractNumId w:val="4"/>
  </w:num>
  <w:num w:numId="26">
    <w:abstractNumId w:val="0"/>
  </w:num>
  <w:num w:numId="27">
    <w:abstractNumId w:val="15"/>
  </w:num>
  <w:num w:numId="28">
    <w:abstractNumId w:val="40"/>
  </w:num>
  <w:num w:numId="29">
    <w:abstractNumId w:val="23"/>
  </w:num>
  <w:num w:numId="30">
    <w:abstractNumId w:val="7"/>
  </w:num>
  <w:num w:numId="31">
    <w:abstractNumId w:val="24"/>
  </w:num>
  <w:num w:numId="32">
    <w:abstractNumId w:val="6"/>
  </w:num>
  <w:num w:numId="33">
    <w:abstractNumId w:val="30"/>
  </w:num>
  <w:num w:numId="34">
    <w:abstractNumId w:val="28"/>
  </w:num>
  <w:num w:numId="35">
    <w:abstractNumId w:val="35"/>
  </w:num>
  <w:num w:numId="36">
    <w:abstractNumId w:val="10"/>
  </w:num>
  <w:num w:numId="37">
    <w:abstractNumId w:val="43"/>
  </w:num>
  <w:num w:numId="38">
    <w:abstractNumId w:val="29"/>
  </w:num>
  <w:num w:numId="39">
    <w:abstractNumId w:val="12"/>
  </w:num>
  <w:num w:numId="40">
    <w:abstractNumId w:val="5"/>
  </w:num>
  <w:num w:numId="41">
    <w:abstractNumId w:val="26"/>
  </w:num>
  <w:num w:numId="42">
    <w:abstractNumId w:val="22"/>
  </w:num>
  <w:num w:numId="43">
    <w:abstractNumId w:val="20"/>
  </w:num>
  <w:num w:numId="44">
    <w:abstractNumId w:val="32"/>
  </w:num>
  <w:num w:numId="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00D"/>
    <w:rsid w:val="00001CC9"/>
    <w:rsid w:val="00022D22"/>
    <w:rsid w:val="00065998"/>
    <w:rsid w:val="000B2705"/>
    <w:rsid w:val="00161EEB"/>
    <w:rsid w:val="002020C4"/>
    <w:rsid w:val="00202D5D"/>
    <w:rsid w:val="002252ED"/>
    <w:rsid w:val="00252838"/>
    <w:rsid w:val="00275527"/>
    <w:rsid w:val="002A4594"/>
    <w:rsid w:val="002B6C26"/>
    <w:rsid w:val="002B6D9D"/>
    <w:rsid w:val="003243A0"/>
    <w:rsid w:val="003627CB"/>
    <w:rsid w:val="003C0CD6"/>
    <w:rsid w:val="003C1DF8"/>
    <w:rsid w:val="003D5B21"/>
    <w:rsid w:val="00441C6E"/>
    <w:rsid w:val="00451B2C"/>
    <w:rsid w:val="00463D52"/>
    <w:rsid w:val="004D7FE2"/>
    <w:rsid w:val="004E5516"/>
    <w:rsid w:val="00515A38"/>
    <w:rsid w:val="005176F6"/>
    <w:rsid w:val="00521774"/>
    <w:rsid w:val="0052731A"/>
    <w:rsid w:val="00536B92"/>
    <w:rsid w:val="00564537"/>
    <w:rsid w:val="005E7F78"/>
    <w:rsid w:val="00617967"/>
    <w:rsid w:val="006222E7"/>
    <w:rsid w:val="006E639B"/>
    <w:rsid w:val="006F0869"/>
    <w:rsid w:val="00707EC2"/>
    <w:rsid w:val="00725257"/>
    <w:rsid w:val="00737336"/>
    <w:rsid w:val="00763190"/>
    <w:rsid w:val="00780B2F"/>
    <w:rsid w:val="007B2F3F"/>
    <w:rsid w:val="007B69B2"/>
    <w:rsid w:val="007C6CC7"/>
    <w:rsid w:val="008073A6"/>
    <w:rsid w:val="00812DB4"/>
    <w:rsid w:val="008232FB"/>
    <w:rsid w:val="00857D19"/>
    <w:rsid w:val="00874B72"/>
    <w:rsid w:val="008E23BD"/>
    <w:rsid w:val="008E7298"/>
    <w:rsid w:val="008F5170"/>
    <w:rsid w:val="009277F0"/>
    <w:rsid w:val="009729CD"/>
    <w:rsid w:val="009F095C"/>
    <w:rsid w:val="00A06C9D"/>
    <w:rsid w:val="00A7284F"/>
    <w:rsid w:val="00AC1899"/>
    <w:rsid w:val="00AD5596"/>
    <w:rsid w:val="00B04F86"/>
    <w:rsid w:val="00B3600D"/>
    <w:rsid w:val="00B4068A"/>
    <w:rsid w:val="00B4254B"/>
    <w:rsid w:val="00B472E3"/>
    <w:rsid w:val="00B75905"/>
    <w:rsid w:val="00B76000"/>
    <w:rsid w:val="00BC6B9B"/>
    <w:rsid w:val="00BD5C90"/>
    <w:rsid w:val="00C1220F"/>
    <w:rsid w:val="00C2061B"/>
    <w:rsid w:val="00C94BFD"/>
    <w:rsid w:val="00CA1821"/>
    <w:rsid w:val="00CC5958"/>
    <w:rsid w:val="00CD39B5"/>
    <w:rsid w:val="00CD5A2E"/>
    <w:rsid w:val="00CE31AB"/>
    <w:rsid w:val="00D02DDC"/>
    <w:rsid w:val="00D716D0"/>
    <w:rsid w:val="00D768CB"/>
    <w:rsid w:val="00D90A21"/>
    <w:rsid w:val="00E21999"/>
    <w:rsid w:val="00E40A2E"/>
    <w:rsid w:val="00E7469A"/>
    <w:rsid w:val="00E8758D"/>
    <w:rsid w:val="00F650DB"/>
    <w:rsid w:val="00F77B23"/>
    <w:rsid w:val="00F87748"/>
    <w:rsid w:val="00FB6906"/>
    <w:rsid w:val="00FC1A5D"/>
    <w:rsid w:val="00FF36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3FF81"/>
  <w15:docId w15:val="{D39664B9-C907-4B60-8982-B0BFB2045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52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2DDC"/>
    <w:pPr>
      <w:ind w:left="720"/>
      <w:contextualSpacing/>
      <w:jc w:val="left"/>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02DDC"/>
    <w:rPr>
      <w:color w:val="0000FF"/>
      <w:u w:val="single"/>
    </w:rPr>
  </w:style>
  <w:style w:type="paragraph" w:styleId="NoSpacing">
    <w:name w:val="No Spacing"/>
    <w:uiPriority w:val="1"/>
    <w:qFormat/>
    <w:rsid w:val="00D02DDC"/>
    <w:pPr>
      <w:spacing w:afterAutospacing="1"/>
      <w:jc w:val="left"/>
    </w:pPr>
    <w:rPr>
      <w:rFonts w:ascii="Arial Narrow" w:eastAsia="Calibri" w:hAnsi="Arial Narrow" w:cs="Times New Roman"/>
    </w:rPr>
  </w:style>
  <w:style w:type="character" w:styleId="Emphasis">
    <w:name w:val="Emphasis"/>
    <w:basedOn w:val="DefaultParagraphFont"/>
    <w:uiPriority w:val="20"/>
    <w:qFormat/>
    <w:rsid w:val="00D02DDC"/>
    <w:rPr>
      <w:b w:val="0"/>
      <w:bCs w:val="0"/>
      <w:i/>
      <w:iCs/>
    </w:rPr>
  </w:style>
  <w:style w:type="paragraph" w:styleId="Header">
    <w:name w:val="header"/>
    <w:basedOn w:val="Normal"/>
    <w:link w:val="HeaderChar"/>
    <w:uiPriority w:val="99"/>
    <w:rsid w:val="00707EC2"/>
    <w:pPr>
      <w:tabs>
        <w:tab w:val="center" w:pos="4153"/>
        <w:tab w:val="right" w:pos="8306"/>
      </w:tabs>
      <w:jc w:val="left"/>
    </w:pPr>
    <w:rPr>
      <w:rFonts w:ascii="Times New Roman" w:eastAsia="Times New Roman" w:hAnsi="Times New Roman" w:cs="Times New Roman"/>
      <w:sz w:val="20"/>
      <w:szCs w:val="20"/>
      <w:lang w:val="en-US"/>
    </w:rPr>
  </w:style>
  <w:style w:type="character" w:customStyle="1" w:styleId="HeaderChar">
    <w:name w:val="Header Char"/>
    <w:basedOn w:val="DefaultParagraphFont"/>
    <w:link w:val="Header"/>
    <w:uiPriority w:val="99"/>
    <w:rsid w:val="00707EC2"/>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B4068A"/>
    <w:pPr>
      <w:tabs>
        <w:tab w:val="center" w:pos="4513"/>
        <w:tab w:val="right" w:pos="9026"/>
      </w:tabs>
    </w:pPr>
  </w:style>
  <w:style w:type="character" w:customStyle="1" w:styleId="FooterChar">
    <w:name w:val="Footer Char"/>
    <w:basedOn w:val="DefaultParagraphFont"/>
    <w:link w:val="Footer"/>
    <w:uiPriority w:val="99"/>
    <w:rsid w:val="00B4068A"/>
  </w:style>
  <w:style w:type="paragraph" w:styleId="Title">
    <w:name w:val="Title"/>
    <w:basedOn w:val="Normal"/>
    <w:link w:val="TitleChar"/>
    <w:qFormat/>
    <w:rsid w:val="00B4068A"/>
    <w:rPr>
      <w:rFonts w:asciiTheme="majorHAnsi" w:eastAsia="Times New Roman" w:hAnsiTheme="majorHAnsi" w:cs="Times New Roman"/>
      <w:b/>
      <w:caps/>
      <w:sz w:val="28"/>
      <w:szCs w:val="24"/>
    </w:rPr>
  </w:style>
  <w:style w:type="character" w:customStyle="1" w:styleId="TitleChar">
    <w:name w:val="Title Char"/>
    <w:basedOn w:val="DefaultParagraphFont"/>
    <w:link w:val="Title"/>
    <w:rsid w:val="00B4068A"/>
    <w:rPr>
      <w:rFonts w:asciiTheme="majorHAnsi" w:eastAsia="Times New Roman" w:hAnsiTheme="majorHAnsi" w:cs="Times New Roman"/>
      <w:b/>
      <w:caps/>
      <w:sz w:val="28"/>
      <w:szCs w:val="24"/>
    </w:rPr>
  </w:style>
  <w:style w:type="table" w:styleId="TableGrid">
    <w:name w:val="Table Grid"/>
    <w:basedOn w:val="TableNormal"/>
    <w:rsid w:val="00B4068A"/>
    <w:pPr>
      <w:jc w:val="both"/>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Reference">
    <w:name w:val="Subtle Reference"/>
    <w:basedOn w:val="DefaultParagraphFont"/>
    <w:uiPriority w:val="31"/>
    <w:qFormat/>
    <w:rsid w:val="00B4068A"/>
    <w:rPr>
      <w:rFonts w:ascii="Calibri Light" w:hAnsi="Calibri Light"/>
      <w:smallCaps/>
      <w:color w:val="auto"/>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tax@edumail.vic.gov.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5AB4DE5E705584E950EF497F731B2AC" ma:contentTypeVersion="4" ma:contentTypeDescription="Create a new document." ma:contentTypeScope="" ma:versionID="fcf4fe7d2875eeb93798061f928e28ff">
  <xsd:schema xmlns:xsd="http://www.w3.org/2001/XMLSchema" xmlns:xs="http://www.w3.org/2001/XMLSchema" xmlns:p="http://schemas.microsoft.com/office/2006/metadata/properties" xmlns:ns2="80ebdd2e-2a79-4ec2-9e8a-ba959cb8afdb" xmlns:ns3="70a5c1fa-c721-4e61-8be1-81c4af2d950f" targetNamespace="http://schemas.microsoft.com/office/2006/metadata/properties" ma:root="true" ma:fieldsID="4e1410ca6406d49e8c5a631428ca6131" ns2:_="" ns3:_="">
    <xsd:import namespace="80ebdd2e-2a79-4ec2-9e8a-ba959cb8afdb"/>
    <xsd:import namespace="70a5c1fa-c721-4e61-8be1-81c4af2d950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ebdd2e-2a79-4ec2-9e8a-ba959cb8afd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a5c1fa-c721-4e61-8be1-81c4af2d950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5949D4-92F6-49A7-B0DD-7E5FB2996A3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838F246-9569-4F25-B285-8FD583FA8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ebdd2e-2a79-4ec2-9e8a-ba959cb8afdb"/>
    <ds:schemaRef ds:uri="70a5c1fa-c721-4e61-8be1-81c4af2d95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988716-0B7D-4FAA-83AF-CEED3A5851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246</Words>
  <Characters>1407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dc:creator>
  <cp:lastModifiedBy>Anna Rigoni</cp:lastModifiedBy>
  <cp:revision>9</cp:revision>
  <dcterms:created xsi:type="dcterms:W3CDTF">2017-05-18T05:10:00Z</dcterms:created>
  <dcterms:modified xsi:type="dcterms:W3CDTF">2018-01-02T01:22:00Z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0x01010025AB4DE5E705584E950EF497F731B2AC</vt:lpwstr>
  </property>
</Properties>
</file>