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E40" w:rsidRPr="00F70B8C" w:rsidRDefault="00A66E40" w:rsidP="00A66E40">
      <w:pPr>
        <w:pStyle w:val="NoSpacing"/>
        <w:jc w:val="both"/>
        <w:rPr>
          <w:rStyle w:val="SubtleReference"/>
        </w:rPr>
      </w:pPr>
      <w:r w:rsidRPr="00F70B8C">
        <w:rPr>
          <w:rStyle w:val="SubtleReference"/>
        </w:rPr>
        <w:t>Rationale</w:t>
      </w:r>
    </w:p>
    <w:p w:rsidR="00A66E40" w:rsidRPr="00F70B8C" w:rsidRDefault="00A66E40" w:rsidP="00A66E40">
      <w:pPr>
        <w:pStyle w:val="NoSpacing"/>
        <w:numPr>
          <w:ilvl w:val="0"/>
          <w:numId w:val="15"/>
        </w:numPr>
        <w:jc w:val="both"/>
        <w:rPr>
          <w:rFonts w:asciiTheme="majorHAnsi" w:hAnsiTheme="majorHAnsi"/>
          <w:sz w:val="24"/>
          <w:szCs w:val="24"/>
        </w:rPr>
      </w:pPr>
      <w:r w:rsidRPr="00F70B8C">
        <w:rPr>
          <w:rFonts w:asciiTheme="majorHAnsi" w:hAnsiTheme="majorHAnsi" w:cs="Arial"/>
          <w:sz w:val="24"/>
          <w:szCs w:val="24"/>
        </w:rPr>
        <w:t>Children of school age have the right to be enrolled at and admitted to their designated neighbourhood government school at the beginning of the school year unless an approved alternative placement has been arranged.</w:t>
      </w:r>
    </w:p>
    <w:p w:rsidR="00A66E40" w:rsidRPr="00F70B8C" w:rsidRDefault="00A66E40" w:rsidP="00A66E40">
      <w:pPr>
        <w:pStyle w:val="NoSpacing"/>
        <w:numPr>
          <w:ilvl w:val="0"/>
          <w:numId w:val="15"/>
        </w:numPr>
        <w:jc w:val="both"/>
        <w:rPr>
          <w:rFonts w:asciiTheme="majorHAnsi" w:hAnsiTheme="majorHAnsi"/>
          <w:sz w:val="24"/>
          <w:szCs w:val="24"/>
        </w:rPr>
      </w:pPr>
      <w:r w:rsidRPr="00F70B8C">
        <w:rPr>
          <w:rFonts w:asciiTheme="majorHAnsi" w:hAnsiTheme="majorHAnsi"/>
          <w:sz w:val="24"/>
          <w:szCs w:val="24"/>
        </w:rPr>
        <w:t>Children must attend the nearest school to be entitled to free school contract bus travel or a conveyance allowance.</w:t>
      </w:r>
    </w:p>
    <w:p w:rsidR="00A66E40" w:rsidRPr="00F70B8C" w:rsidRDefault="00A66E40" w:rsidP="00A66E40">
      <w:pPr>
        <w:pStyle w:val="NoSpacing"/>
        <w:numPr>
          <w:ilvl w:val="0"/>
          <w:numId w:val="15"/>
        </w:numPr>
        <w:jc w:val="both"/>
        <w:rPr>
          <w:rFonts w:asciiTheme="majorHAnsi" w:hAnsiTheme="majorHAnsi"/>
          <w:sz w:val="24"/>
          <w:szCs w:val="24"/>
        </w:rPr>
      </w:pPr>
      <w:r w:rsidRPr="00F70B8C">
        <w:rPr>
          <w:rFonts w:asciiTheme="majorHAnsi" w:hAnsiTheme="majorHAnsi"/>
          <w:sz w:val="24"/>
          <w:szCs w:val="24"/>
        </w:rPr>
        <w:t>Where there are insufficient places at a school for all children who seek entry, children are enrolled in the following priority order:</w:t>
      </w:r>
    </w:p>
    <w:p w:rsidR="00A66E40" w:rsidRPr="00F70B8C" w:rsidRDefault="00A66E40" w:rsidP="00A66E40">
      <w:pPr>
        <w:pStyle w:val="NoSpacing"/>
        <w:numPr>
          <w:ilvl w:val="0"/>
          <w:numId w:val="9"/>
        </w:numPr>
        <w:ind w:left="1701" w:right="-45" w:hanging="567"/>
        <w:jc w:val="both"/>
        <w:rPr>
          <w:rFonts w:asciiTheme="majorHAnsi" w:hAnsiTheme="majorHAnsi"/>
          <w:sz w:val="24"/>
          <w:szCs w:val="24"/>
        </w:rPr>
      </w:pPr>
      <w:r w:rsidRPr="00F70B8C">
        <w:rPr>
          <w:rFonts w:asciiTheme="majorHAnsi" w:hAnsiTheme="majorHAnsi"/>
          <w:sz w:val="24"/>
          <w:szCs w:val="24"/>
        </w:rPr>
        <w:t>Children for whom the school is the designated neighbourhood school.</w:t>
      </w:r>
    </w:p>
    <w:p w:rsidR="00A66E40" w:rsidRPr="00F70B8C" w:rsidRDefault="00A66E40" w:rsidP="00A66E40">
      <w:pPr>
        <w:pStyle w:val="NoSpacing"/>
        <w:numPr>
          <w:ilvl w:val="0"/>
          <w:numId w:val="9"/>
        </w:numPr>
        <w:ind w:left="1701" w:right="-45" w:hanging="567"/>
        <w:jc w:val="both"/>
        <w:rPr>
          <w:rFonts w:asciiTheme="majorHAnsi" w:hAnsiTheme="majorHAnsi"/>
          <w:sz w:val="24"/>
          <w:szCs w:val="24"/>
        </w:rPr>
      </w:pPr>
      <w:r w:rsidRPr="00F70B8C">
        <w:rPr>
          <w:rFonts w:asciiTheme="majorHAnsi" w:hAnsiTheme="majorHAnsi"/>
          <w:sz w:val="24"/>
          <w:szCs w:val="24"/>
        </w:rPr>
        <w:t>Children with a sibling at the same permanent address who are attending the school at the same time.</w:t>
      </w:r>
    </w:p>
    <w:p w:rsidR="00A66E40" w:rsidRPr="00F70B8C" w:rsidRDefault="00A66E40" w:rsidP="00A66E40">
      <w:pPr>
        <w:pStyle w:val="NoSpacing"/>
        <w:numPr>
          <w:ilvl w:val="0"/>
          <w:numId w:val="9"/>
        </w:numPr>
        <w:ind w:left="1701" w:right="-45" w:hanging="567"/>
        <w:jc w:val="both"/>
        <w:rPr>
          <w:rFonts w:asciiTheme="majorHAnsi" w:hAnsiTheme="majorHAnsi"/>
          <w:sz w:val="24"/>
          <w:szCs w:val="24"/>
        </w:rPr>
      </w:pPr>
      <w:r w:rsidRPr="00F70B8C">
        <w:rPr>
          <w:rFonts w:asciiTheme="majorHAnsi" w:hAnsiTheme="majorHAnsi"/>
          <w:sz w:val="24"/>
          <w:szCs w:val="24"/>
        </w:rPr>
        <w:t>Where the Regional Director has restricted the enrolment, children who reside nearest the school.</w:t>
      </w:r>
    </w:p>
    <w:p w:rsidR="00A66E40" w:rsidRPr="00F70B8C" w:rsidRDefault="00A66E40" w:rsidP="00A66E40">
      <w:pPr>
        <w:pStyle w:val="NoSpacing"/>
        <w:numPr>
          <w:ilvl w:val="0"/>
          <w:numId w:val="9"/>
        </w:numPr>
        <w:ind w:left="1701" w:right="-45" w:hanging="567"/>
        <w:jc w:val="both"/>
        <w:rPr>
          <w:rFonts w:asciiTheme="majorHAnsi" w:hAnsiTheme="majorHAnsi"/>
          <w:sz w:val="24"/>
          <w:szCs w:val="24"/>
        </w:rPr>
      </w:pPr>
      <w:r w:rsidRPr="00F70B8C">
        <w:rPr>
          <w:rFonts w:asciiTheme="majorHAnsi" w:hAnsiTheme="majorHAnsi"/>
          <w:sz w:val="24"/>
          <w:szCs w:val="24"/>
        </w:rPr>
        <w:t>Children seeking enrolment on specific curriculum grounds.</w:t>
      </w:r>
    </w:p>
    <w:p w:rsidR="00A66E40" w:rsidRPr="00F70B8C" w:rsidRDefault="00A66E40" w:rsidP="00A66E40">
      <w:pPr>
        <w:pStyle w:val="NoSpacing"/>
        <w:numPr>
          <w:ilvl w:val="0"/>
          <w:numId w:val="9"/>
        </w:numPr>
        <w:ind w:left="1701" w:right="-45" w:hanging="567"/>
        <w:jc w:val="both"/>
        <w:rPr>
          <w:rFonts w:asciiTheme="majorHAnsi" w:hAnsiTheme="majorHAnsi"/>
          <w:sz w:val="24"/>
          <w:szCs w:val="24"/>
        </w:rPr>
      </w:pPr>
      <w:r w:rsidRPr="00F70B8C">
        <w:rPr>
          <w:rFonts w:asciiTheme="majorHAnsi" w:hAnsiTheme="majorHAnsi"/>
          <w:sz w:val="24"/>
          <w:szCs w:val="24"/>
        </w:rPr>
        <w:t>All other children in order of closeness of their home to the school.</w:t>
      </w:r>
    </w:p>
    <w:p w:rsidR="00A66E40" w:rsidRPr="00F70B8C" w:rsidRDefault="00A66E40" w:rsidP="00A66E40">
      <w:pPr>
        <w:pStyle w:val="NoSpacing"/>
        <w:numPr>
          <w:ilvl w:val="0"/>
          <w:numId w:val="9"/>
        </w:numPr>
        <w:ind w:left="1701" w:right="-45" w:hanging="567"/>
        <w:jc w:val="both"/>
        <w:rPr>
          <w:rFonts w:asciiTheme="majorHAnsi" w:hAnsiTheme="majorHAnsi"/>
          <w:sz w:val="24"/>
          <w:szCs w:val="24"/>
        </w:rPr>
      </w:pPr>
      <w:r w:rsidRPr="00F70B8C">
        <w:rPr>
          <w:rFonts w:asciiTheme="majorHAnsi" w:hAnsiTheme="majorHAnsi"/>
          <w:sz w:val="24"/>
          <w:szCs w:val="24"/>
        </w:rPr>
        <w:t>In exceptional circumstances, compassionate grounds.</w:t>
      </w:r>
    </w:p>
    <w:p w:rsidR="00A66E40" w:rsidRPr="00F70B8C" w:rsidRDefault="00A66E40" w:rsidP="00A66E40">
      <w:pPr>
        <w:pStyle w:val="NoSpacing"/>
        <w:numPr>
          <w:ilvl w:val="0"/>
          <w:numId w:val="1"/>
        </w:numPr>
        <w:ind w:right="-45" w:hanging="425"/>
        <w:jc w:val="both"/>
        <w:rPr>
          <w:rFonts w:asciiTheme="majorHAnsi" w:hAnsiTheme="majorHAnsi"/>
          <w:sz w:val="24"/>
          <w:szCs w:val="24"/>
        </w:rPr>
      </w:pPr>
      <w:r w:rsidRPr="00F70B8C">
        <w:rPr>
          <w:rFonts w:asciiTheme="majorHAnsi" w:hAnsiTheme="majorHAnsi"/>
          <w:sz w:val="24"/>
          <w:szCs w:val="24"/>
        </w:rPr>
        <w:t>Appeals are considered based on the following Department placement principles:</w:t>
      </w:r>
    </w:p>
    <w:p w:rsidR="00A66E40" w:rsidRPr="00F70B8C" w:rsidRDefault="00A66E40" w:rsidP="00A66E40">
      <w:pPr>
        <w:pStyle w:val="NoSpacing"/>
        <w:numPr>
          <w:ilvl w:val="0"/>
          <w:numId w:val="10"/>
        </w:numPr>
        <w:ind w:right="-45"/>
        <w:jc w:val="both"/>
        <w:rPr>
          <w:rFonts w:asciiTheme="majorHAnsi" w:hAnsiTheme="majorHAnsi"/>
          <w:sz w:val="24"/>
          <w:szCs w:val="24"/>
        </w:rPr>
      </w:pPr>
      <w:r w:rsidRPr="00F70B8C">
        <w:rPr>
          <w:rFonts w:asciiTheme="majorHAnsi" w:hAnsiTheme="majorHAnsi"/>
          <w:sz w:val="24"/>
          <w:szCs w:val="24"/>
        </w:rPr>
        <w:t>provide each child with a place in the designated neighbourhood school</w:t>
      </w:r>
    </w:p>
    <w:p w:rsidR="00A66E40" w:rsidRPr="00F70B8C" w:rsidRDefault="00A66E40" w:rsidP="00A66E40">
      <w:pPr>
        <w:pStyle w:val="NoSpacing"/>
        <w:numPr>
          <w:ilvl w:val="0"/>
          <w:numId w:val="10"/>
        </w:numPr>
        <w:ind w:right="-45"/>
        <w:jc w:val="both"/>
        <w:rPr>
          <w:rFonts w:asciiTheme="majorHAnsi" w:hAnsiTheme="majorHAnsi"/>
          <w:sz w:val="24"/>
          <w:szCs w:val="24"/>
        </w:rPr>
      </w:pPr>
      <w:r w:rsidRPr="00F70B8C">
        <w:rPr>
          <w:rFonts w:asciiTheme="majorHAnsi" w:hAnsiTheme="majorHAnsi"/>
          <w:sz w:val="24"/>
          <w:szCs w:val="24"/>
        </w:rPr>
        <w:t>provide parents/carers with an opportunity to enrol their child at the same school as an older sibling who resides at the same address</w:t>
      </w:r>
    </w:p>
    <w:p w:rsidR="00A66E40" w:rsidRPr="00F70B8C" w:rsidRDefault="00A66E40" w:rsidP="00A66E40">
      <w:pPr>
        <w:pStyle w:val="NoSpacing"/>
        <w:numPr>
          <w:ilvl w:val="0"/>
          <w:numId w:val="10"/>
        </w:numPr>
        <w:ind w:right="-45"/>
        <w:jc w:val="both"/>
        <w:rPr>
          <w:rFonts w:asciiTheme="majorHAnsi" w:hAnsiTheme="majorHAnsi"/>
          <w:sz w:val="24"/>
          <w:szCs w:val="24"/>
        </w:rPr>
      </w:pPr>
      <w:r w:rsidRPr="00F70B8C">
        <w:rPr>
          <w:rFonts w:asciiTheme="majorHAnsi" w:hAnsiTheme="majorHAnsi"/>
          <w:sz w:val="24"/>
          <w:szCs w:val="24"/>
        </w:rPr>
        <w:t>allow parents/carers to send their child to any alternative school where space is available</w:t>
      </w:r>
    </w:p>
    <w:p w:rsidR="00A66E40" w:rsidRPr="00F70B8C" w:rsidRDefault="00A66E40" w:rsidP="00A66E40">
      <w:pPr>
        <w:pStyle w:val="NoSpacing"/>
        <w:numPr>
          <w:ilvl w:val="0"/>
          <w:numId w:val="10"/>
        </w:numPr>
        <w:ind w:right="-45"/>
        <w:jc w:val="both"/>
        <w:rPr>
          <w:rFonts w:asciiTheme="majorHAnsi" w:hAnsiTheme="majorHAnsi"/>
          <w:sz w:val="24"/>
          <w:szCs w:val="24"/>
        </w:rPr>
      </w:pPr>
      <w:r w:rsidRPr="00F70B8C">
        <w:rPr>
          <w:rFonts w:asciiTheme="majorHAnsi" w:hAnsiTheme="majorHAnsi"/>
          <w:sz w:val="24"/>
          <w:szCs w:val="24"/>
        </w:rPr>
        <w:t>contain enrolments in each school within the limits of available resources as determined by the Regional Director</w:t>
      </w:r>
    </w:p>
    <w:p w:rsidR="00A66E40" w:rsidRPr="00F70B8C" w:rsidRDefault="00A66E40" w:rsidP="00A66E40">
      <w:pPr>
        <w:pStyle w:val="NoSpacing"/>
        <w:numPr>
          <w:ilvl w:val="0"/>
          <w:numId w:val="2"/>
        </w:numPr>
        <w:ind w:right="-45" w:hanging="425"/>
        <w:jc w:val="both"/>
        <w:rPr>
          <w:rFonts w:asciiTheme="majorHAnsi" w:hAnsiTheme="majorHAnsi"/>
          <w:sz w:val="24"/>
          <w:szCs w:val="24"/>
        </w:rPr>
      </w:pPr>
      <w:r w:rsidRPr="00F70B8C">
        <w:rPr>
          <w:rFonts w:asciiTheme="majorHAnsi" w:hAnsiTheme="majorHAnsi"/>
          <w:sz w:val="24"/>
          <w:szCs w:val="24"/>
        </w:rPr>
        <w:t>The Regional Director has the authority to effect placement of children.</w:t>
      </w:r>
    </w:p>
    <w:p w:rsidR="00A66E40" w:rsidRPr="00F70B8C" w:rsidRDefault="00A66E40" w:rsidP="00A66E40">
      <w:pPr>
        <w:numPr>
          <w:ilvl w:val="0"/>
          <w:numId w:val="3"/>
        </w:numPr>
        <w:spacing w:after="0" w:line="240" w:lineRule="auto"/>
        <w:ind w:left="709" w:right="-45" w:hanging="425"/>
        <w:jc w:val="both"/>
        <w:rPr>
          <w:rFonts w:asciiTheme="majorHAnsi" w:hAnsiTheme="majorHAnsi"/>
          <w:b/>
          <w:sz w:val="24"/>
          <w:szCs w:val="24"/>
          <w:u w:val="single"/>
        </w:rPr>
      </w:pPr>
      <w:r w:rsidRPr="00F70B8C">
        <w:rPr>
          <w:rFonts w:asciiTheme="majorHAnsi" w:hAnsiTheme="majorHAnsi" w:cs="Arial"/>
          <w:sz w:val="24"/>
          <w:szCs w:val="24"/>
        </w:rPr>
        <w:t>Enrolment can be arranged by the Principal without further approval or by reference to the Regional Director e.g. for early age enrolment.</w:t>
      </w:r>
    </w:p>
    <w:p w:rsidR="00A66E40" w:rsidRPr="00F70B8C" w:rsidRDefault="00A66E40" w:rsidP="00A66E40">
      <w:pPr>
        <w:numPr>
          <w:ilvl w:val="0"/>
          <w:numId w:val="3"/>
        </w:numPr>
        <w:spacing w:after="0" w:line="240" w:lineRule="auto"/>
        <w:ind w:left="709" w:right="-45" w:hanging="425"/>
        <w:jc w:val="both"/>
        <w:rPr>
          <w:rFonts w:asciiTheme="majorHAnsi" w:hAnsiTheme="majorHAnsi"/>
          <w:b/>
          <w:sz w:val="24"/>
          <w:szCs w:val="24"/>
          <w:u w:val="single"/>
        </w:rPr>
      </w:pPr>
      <w:r w:rsidRPr="00F70B8C">
        <w:rPr>
          <w:rFonts w:asciiTheme="majorHAnsi" w:hAnsiTheme="majorHAnsi" w:cs="Arial"/>
          <w:sz w:val="24"/>
          <w:szCs w:val="24"/>
        </w:rPr>
        <w:t>At initial enrolment a Victorian Student Number (VSN) is allocated to a child in the name certified in admission documents. When children transfer between schools, the subsequent enrolment is in the name attached to the VSN, unless new legal documentation with an amended name is provided.</w:t>
      </w:r>
    </w:p>
    <w:p w:rsidR="00A66E40" w:rsidRPr="00F70B8C" w:rsidRDefault="00A66E40" w:rsidP="00A66E40">
      <w:pPr>
        <w:ind w:left="709" w:right="-45" w:hanging="567"/>
        <w:jc w:val="both"/>
        <w:rPr>
          <w:rStyle w:val="SubtleReference"/>
        </w:rPr>
      </w:pPr>
    </w:p>
    <w:p w:rsidR="00A66E40" w:rsidRPr="00F70B8C" w:rsidRDefault="00A66E40" w:rsidP="00A66E40">
      <w:pPr>
        <w:pStyle w:val="NoSpacing"/>
        <w:jc w:val="both"/>
        <w:rPr>
          <w:rStyle w:val="SubtleReference"/>
        </w:rPr>
      </w:pPr>
      <w:r w:rsidRPr="00F70B8C">
        <w:rPr>
          <w:rStyle w:val="SubtleReference"/>
        </w:rPr>
        <w:t>Purpose</w:t>
      </w:r>
    </w:p>
    <w:p w:rsidR="00A66E40" w:rsidRPr="00F70B8C" w:rsidRDefault="00A66E40" w:rsidP="00A66E40">
      <w:pPr>
        <w:pStyle w:val="NoSpacing"/>
        <w:numPr>
          <w:ilvl w:val="0"/>
          <w:numId w:val="12"/>
        </w:numPr>
        <w:jc w:val="both"/>
        <w:rPr>
          <w:rFonts w:asciiTheme="majorHAnsi" w:hAnsiTheme="majorHAnsi"/>
          <w:sz w:val="24"/>
          <w:szCs w:val="24"/>
        </w:rPr>
      </w:pPr>
      <w:r w:rsidRPr="00F70B8C">
        <w:rPr>
          <w:rFonts w:asciiTheme="majorHAnsi" w:hAnsiTheme="majorHAnsi"/>
          <w:sz w:val="24"/>
          <w:szCs w:val="24"/>
        </w:rPr>
        <w:t xml:space="preserve">To ensure </w:t>
      </w:r>
      <w:r w:rsidR="00D87AC0" w:rsidRPr="00F70B8C">
        <w:rPr>
          <w:rFonts w:asciiTheme="majorHAnsi" w:hAnsiTheme="majorHAnsi"/>
          <w:sz w:val="24"/>
          <w:szCs w:val="24"/>
        </w:rPr>
        <w:t>Charles La Trobe College</w:t>
      </w:r>
      <w:r w:rsidRPr="00F70B8C">
        <w:rPr>
          <w:rFonts w:asciiTheme="majorHAnsi" w:hAnsiTheme="majorHAnsi"/>
          <w:sz w:val="24"/>
          <w:szCs w:val="24"/>
        </w:rPr>
        <w:t xml:space="preserve"> enrols eligible children, maintains enrolment data and discharges its custodial role.</w:t>
      </w:r>
    </w:p>
    <w:p w:rsidR="00A66E40" w:rsidRPr="00F70B8C" w:rsidRDefault="00A66E40" w:rsidP="00A66E40">
      <w:pPr>
        <w:pStyle w:val="NoSpacing"/>
        <w:numPr>
          <w:ilvl w:val="0"/>
          <w:numId w:val="12"/>
        </w:numPr>
        <w:jc w:val="both"/>
        <w:rPr>
          <w:rFonts w:asciiTheme="majorHAnsi" w:hAnsiTheme="majorHAnsi"/>
          <w:sz w:val="24"/>
          <w:szCs w:val="24"/>
        </w:rPr>
      </w:pPr>
      <w:r w:rsidRPr="00F70B8C">
        <w:rPr>
          <w:rFonts w:asciiTheme="majorHAnsi" w:hAnsiTheme="majorHAnsi"/>
          <w:sz w:val="24"/>
          <w:szCs w:val="24"/>
        </w:rPr>
        <w:t>To ensure the school complies with DET enrolment policy and guidelines.</w:t>
      </w:r>
    </w:p>
    <w:p w:rsidR="00A66E40" w:rsidRPr="00F70B8C" w:rsidRDefault="00A66E40" w:rsidP="00A66E40">
      <w:pPr>
        <w:pStyle w:val="NoSpacing"/>
        <w:numPr>
          <w:ilvl w:val="0"/>
          <w:numId w:val="12"/>
        </w:numPr>
        <w:jc w:val="both"/>
        <w:rPr>
          <w:rFonts w:asciiTheme="majorHAnsi" w:hAnsiTheme="majorHAnsi"/>
          <w:sz w:val="24"/>
          <w:szCs w:val="24"/>
          <w:lang w:val="en-US" w:eastAsia="en-AU"/>
        </w:rPr>
      </w:pPr>
      <w:r w:rsidRPr="00F70B8C">
        <w:rPr>
          <w:rFonts w:asciiTheme="majorHAnsi" w:hAnsiTheme="majorHAnsi"/>
          <w:sz w:val="24"/>
          <w:szCs w:val="24"/>
        </w:rPr>
        <w:t xml:space="preserve">To ensure the school complies with the legislative requirements of the: </w:t>
      </w:r>
    </w:p>
    <w:p w:rsidR="00A66E40" w:rsidRPr="00F70B8C" w:rsidRDefault="00A66E40" w:rsidP="00A66E40">
      <w:pPr>
        <w:pStyle w:val="NoSpacing"/>
        <w:numPr>
          <w:ilvl w:val="0"/>
          <w:numId w:val="13"/>
        </w:numPr>
        <w:ind w:firstLine="131"/>
        <w:jc w:val="both"/>
        <w:rPr>
          <w:rFonts w:asciiTheme="majorHAnsi" w:hAnsiTheme="majorHAnsi"/>
          <w:sz w:val="24"/>
          <w:szCs w:val="24"/>
          <w:lang w:eastAsia="en-AU"/>
        </w:rPr>
      </w:pPr>
      <w:r w:rsidRPr="00F70B8C">
        <w:rPr>
          <w:rFonts w:asciiTheme="majorHAnsi" w:hAnsiTheme="majorHAnsi"/>
          <w:i/>
          <w:sz w:val="24"/>
          <w:szCs w:val="24"/>
          <w:lang w:eastAsia="en-AU"/>
        </w:rPr>
        <w:t>Education and Training Reform Act 2006</w:t>
      </w:r>
    </w:p>
    <w:p w:rsidR="00A66E40" w:rsidRPr="00F70B8C" w:rsidRDefault="00A66E40" w:rsidP="00A66E40">
      <w:pPr>
        <w:pStyle w:val="NoSpacing"/>
        <w:numPr>
          <w:ilvl w:val="0"/>
          <w:numId w:val="13"/>
        </w:numPr>
        <w:ind w:firstLine="131"/>
        <w:jc w:val="both"/>
        <w:rPr>
          <w:rFonts w:asciiTheme="majorHAnsi" w:hAnsiTheme="majorHAnsi"/>
          <w:sz w:val="24"/>
          <w:szCs w:val="24"/>
          <w:lang w:eastAsia="en-AU"/>
        </w:rPr>
      </w:pPr>
      <w:r w:rsidRPr="00F70B8C">
        <w:rPr>
          <w:rFonts w:asciiTheme="majorHAnsi" w:hAnsiTheme="majorHAnsi"/>
          <w:i/>
          <w:sz w:val="24"/>
          <w:szCs w:val="24"/>
          <w:lang w:eastAsia="en-AU"/>
        </w:rPr>
        <w:t>Privacy Act</w:t>
      </w:r>
    </w:p>
    <w:p w:rsidR="00A66E40" w:rsidRPr="00F70B8C" w:rsidRDefault="00A66E40" w:rsidP="00A66E40">
      <w:pPr>
        <w:pStyle w:val="NoSpacing"/>
        <w:numPr>
          <w:ilvl w:val="0"/>
          <w:numId w:val="13"/>
        </w:numPr>
        <w:ind w:firstLine="131"/>
        <w:jc w:val="both"/>
        <w:rPr>
          <w:rFonts w:asciiTheme="majorHAnsi" w:hAnsiTheme="majorHAnsi"/>
          <w:sz w:val="24"/>
          <w:szCs w:val="24"/>
          <w:lang w:eastAsia="en-AU"/>
        </w:rPr>
      </w:pPr>
      <w:r w:rsidRPr="00F70B8C">
        <w:rPr>
          <w:rFonts w:asciiTheme="majorHAnsi" w:hAnsiTheme="majorHAnsi"/>
          <w:i/>
          <w:sz w:val="24"/>
          <w:szCs w:val="24"/>
          <w:lang w:eastAsia="en-AU"/>
        </w:rPr>
        <w:t>Public Health and Wellbeing Act 2008</w:t>
      </w:r>
      <w:r w:rsidRPr="00F70B8C">
        <w:rPr>
          <w:rFonts w:asciiTheme="majorHAnsi" w:hAnsiTheme="majorHAnsi"/>
          <w:sz w:val="24"/>
          <w:szCs w:val="24"/>
          <w:lang w:eastAsia="en-AU"/>
        </w:rPr>
        <w:t xml:space="preserve"> and </w:t>
      </w:r>
    </w:p>
    <w:p w:rsidR="00A66E40" w:rsidRPr="00F70B8C" w:rsidRDefault="00A66E40" w:rsidP="00A66E40">
      <w:pPr>
        <w:pStyle w:val="NoSpacing"/>
        <w:numPr>
          <w:ilvl w:val="0"/>
          <w:numId w:val="13"/>
        </w:numPr>
        <w:ind w:firstLine="131"/>
        <w:jc w:val="both"/>
        <w:rPr>
          <w:rFonts w:asciiTheme="majorHAnsi" w:hAnsiTheme="majorHAnsi"/>
          <w:sz w:val="24"/>
          <w:szCs w:val="24"/>
          <w:lang w:eastAsia="en-AU"/>
        </w:rPr>
      </w:pPr>
      <w:r w:rsidRPr="00F70B8C">
        <w:rPr>
          <w:rFonts w:asciiTheme="majorHAnsi" w:hAnsiTheme="majorHAnsi"/>
          <w:sz w:val="24"/>
          <w:szCs w:val="24"/>
          <w:lang w:eastAsia="en-AU"/>
        </w:rPr>
        <w:t>Public Health and Wellbeing Regulations 2009</w:t>
      </w:r>
    </w:p>
    <w:p w:rsidR="00A66E40" w:rsidRPr="00F70B8C" w:rsidRDefault="00A66E40" w:rsidP="00A66E40">
      <w:pPr>
        <w:pStyle w:val="NoSpacing"/>
        <w:jc w:val="both"/>
        <w:rPr>
          <w:rFonts w:asciiTheme="majorHAnsi" w:hAnsiTheme="majorHAnsi"/>
          <w:sz w:val="24"/>
          <w:szCs w:val="24"/>
        </w:rPr>
      </w:pPr>
    </w:p>
    <w:p w:rsidR="00A66E40" w:rsidRPr="00F70B8C" w:rsidRDefault="00A66E40" w:rsidP="00A66E40">
      <w:pPr>
        <w:pStyle w:val="NoSpacing"/>
        <w:jc w:val="both"/>
        <w:rPr>
          <w:rFonts w:asciiTheme="majorHAnsi" w:hAnsiTheme="majorHAnsi"/>
          <w:sz w:val="24"/>
          <w:szCs w:val="24"/>
        </w:rPr>
      </w:pPr>
    </w:p>
    <w:p w:rsidR="00A66E40" w:rsidRPr="00F70B8C" w:rsidRDefault="00A66E40" w:rsidP="00A66E40">
      <w:pPr>
        <w:pStyle w:val="NoSpacing"/>
        <w:jc w:val="both"/>
        <w:rPr>
          <w:rFonts w:asciiTheme="majorHAnsi" w:hAnsiTheme="majorHAnsi"/>
          <w:sz w:val="24"/>
          <w:szCs w:val="24"/>
        </w:rPr>
      </w:pPr>
    </w:p>
    <w:p w:rsidR="00A66E40" w:rsidRPr="00F70B8C" w:rsidRDefault="00A66E40" w:rsidP="00A66E40">
      <w:pPr>
        <w:pStyle w:val="NoSpacing"/>
        <w:jc w:val="both"/>
        <w:rPr>
          <w:rStyle w:val="SubtleReference"/>
        </w:rPr>
      </w:pPr>
      <w:r w:rsidRPr="00F70B8C">
        <w:rPr>
          <w:rStyle w:val="SubtleReference"/>
        </w:rPr>
        <w:t>Definition</w:t>
      </w:r>
    </w:p>
    <w:p w:rsidR="00A66E40" w:rsidRPr="00F70B8C" w:rsidRDefault="00A66E40" w:rsidP="00A66E40">
      <w:pPr>
        <w:pStyle w:val="NoSpacing"/>
        <w:jc w:val="both"/>
        <w:rPr>
          <w:rFonts w:asciiTheme="majorHAnsi" w:hAnsiTheme="majorHAnsi"/>
          <w:sz w:val="24"/>
          <w:szCs w:val="24"/>
        </w:rPr>
      </w:pPr>
      <w:r w:rsidRPr="00F70B8C">
        <w:rPr>
          <w:rFonts w:asciiTheme="majorHAnsi" w:hAnsiTheme="majorHAnsi"/>
          <w:sz w:val="24"/>
          <w:szCs w:val="24"/>
        </w:rPr>
        <w:t>The designated neighbourhood school is the school that is nearest the child’s permanent residence, unless the Regional Director needs to restrict new enrolments at a school or has designated the neighbourhood boundaries for the school.  Each campus of a multi-campus school has its own designated neighbourhood.</w:t>
      </w:r>
    </w:p>
    <w:p w:rsidR="00A66E40" w:rsidRPr="00F70B8C" w:rsidRDefault="00A66E40" w:rsidP="00A66E40">
      <w:pPr>
        <w:pStyle w:val="NoSpacing"/>
        <w:jc w:val="both"/>
        <w:rPr>
          <w:rStyle w:val="SubtleReference"/>
        </w:rPr>
      </w:pPr>
    </w:p>
    <w:p w:rsidR="00A66E40" w:rsidRPr="00F70B8C" w:rsidRDefault="00A66E40" w:rsidP="00A66E40">
      <w:pPr>
        <w:pStyle w:val="NoSpacing"/>
        <w:jc w:val="both"/>
        <w:rPr>
          <w:rFonts w:asciiTheme="majorHAnsi" w:hAnsiTheme="majorHAnsi"/>
          <w:b/>
          <w:sz w:val="24"/>
          <w:szCs w:val="24"/>
          <w:u w:val="single"/>
          <w:lang w:eastAsia="en-AU"/>
        </w:rPr>
      </w:pPr>
      <w:r w:rsidRPr="00F70B8C">
        <w:rPr>
          <w:rStyle w:val="SubtleReference"/>
        </w:rPr>
        <w:t>Implementation</w:t>
      </w:r>
    </w:p>
    <w:p w:rsidR="003921BB" w:rsidRPr="00F70B8C" w:rsidRDefault="003921BB" w:rsidP="003921BB">
      <w:pPr>
        <w:pStyle w:val="ListParagraph"/>
        <w:numPr>
          <w:ilvl w:val="0"/>
          <w:numId w:val="16"/>
        </w:numPr>
        <w:ind w:left="851" w:hanging="578"/>
        <w:jc w:val="both"/>
        <w:rPr>
          <w:rFonts w:asciiTheme="majorHAnsi" w:hAnsiTheme="majorHAnsi"/>
        </w:rPr>
      </w:pPr>
      <w:r w:rsidRPr="00F70B8C">
        <w:rPr>
          <w:rFonts w:asciiTheme="majorHAnsi" w:hAnsiTheme="majorHAnsi"/>
        </w:rPr>
        <w:t>The school has developed a mandatory Admission Policy.</w:t>
      </w:r>
    </w:p>
    <w:p w:rsidR="003921BB" w:rsidRPr="00F70B8C" w:rsidRDefault="003921BB" w:rsidP="003921BB">
      <w:pPr>
        <w:pStyle w:val="ListParagraph"/>
        <w:numPr>
          <w:ilvl w:val="0"/>
          <w:numId w:val="16"/>
        </w:numPr>
        <w:ind w:left="851" w:hanging="578"/>
        <w:jc w:val="both"/>
        <w:rPr>
          <w:rFonts w:asciiTheme="majorHAnsi" w:hAnsiTheme="majorHAnsi"/>
          <w:lang w:eastAsia="en-AU"/>
        </w:rPr>
      </w:pPr>
      <w:r w:rsidRPr="00F70B8C">
        <w:rPr>
          <w:rFonts w:asciiTheme="majorHAnsi" w:hAnsiTheme="majorHAnsi"/>
          <w:lang w:eastAsia="en-AU"/>
        </w:rPr>
        <w:t xml:space="preserve">The school will: </w:t>
      </w:r>
    </w:p>
    <w:p w:rsidR="003921BB" w:rsidRPr="00F70B8C" w:rsidRDefault="003921BB" w:rsidP="003921BB">
      <w:pPr>
        <w:pStyle w:val="ListParagraph"/>
        <w:numPr>
          <w:ilvl w:val="0"/>
          <w:numId w:val="17"/>
        </w:numPr>
        <w:ind w:left="1418" w:hanging="425"/>
        <w:jc w:val="both"/>
        <w:rPr>
          <w:rFonts w:asciiTheme="majorHAnsi" w:hAnsiTheme="majorHAnsi"/>
        </w:rPr>
      </w:pPr>
      <w:r w:rsidRPr="00F70B8C">
        <w:rPr>
          <w:rFonts w:asciiTheme="majorHAnsi" w:hAnsiTheme="majorHAnsi"/>
        </w:rPr>
        <w:t>enrol eligible children who are new to the Victorian government school system</w:t>
      </w:r>
    </w:p>
    <w:p w:rsidR="003921BB" w:rsidRPr="00F70B8C" w:rsidRDefault="003921BB" w:rsidP="003921BB">
      <w:pPr>
        <w:pStyle w:val="ListParagraph"/>
        <w:numPr>
          <w:ilvl w:val="0"/>
          <w:numId w:val="17"/>
        </w:numPr>
        <w:ind w:left="1418" w:hanging="425"/>
        <w:jc w:val="both"/>
        <w:rPr>
          <w:rFonts w:asciiTheme="majorHAnsi" w:hAnsiTheme="majorHAnsi"/>
          <w:lang w:eastAsia="en-AU"/>
        </w:rPr>
      </w:pPr>
      <w:r w:rsidRPr="00F70B8C">
        <w:rPr>
          <w:rFonts w:asciiTheme="majorHAnsi" w:hAnsiTheme="majorHAnsi"/>
          <w:lang w:eastAsia="en-AU"/>
        </w:rPr>
        <w:t>keep copies of sighted documents including an immunisation status certificate</w:t>
      </w:r>
    </w:p>
    <w:p w:rsidR="003921BB" w:rsidRPr="00F70B8C" w:rsidRDefault="003921BB" w:rsidP="003921BB">
      <w:pPr>
        <w:pStyle w:val="ListParagraph"/>
        <w:numPr>
          <w:ilvl w:val="0"/>
          <w:numId w:val="17"/>
        </w:numPr>
        <w:ind w:left="1418" w:hanging="425"/>
        <w:jc w:val="both"/>
        <w:rPr>
          <w:rFonts w:asciiTheme="majorHAnsi" w:hAnsiTheme="majorHAnsi"/>
          <w:lang w:eastAsia="en-AU"/>
        </w:rPr>
      </w:pPr>
      <w:r w:rsidRPr="00F70B8C">
        <w:rPr>
          <w:rFonts w:asciiTheme="majorHAnsi" w:hAnsiTheme="majorHAnsi"/>
          <w:lang w:eastAsia="en-AU"/>
        </w:rPr>
        <w:t>verify any changes to student enrolment names</w:t>
      </w:r>
    </w:p>
    <w:p w:rsidR="003921BB" w:rsidRPr="00F70B8C" w:rsidRDefault="003921BB" w:rsidP="003921BB">
      <w:pPr>
        <w:pStyle w:val="ListParagraph"/>
        <w:numPr>
          <w:ilvl w:val="0"/>
          <w:numId w:val="17"/>
        </w:numPr>
        <w:ind w:left="1418" w:hanging="425"/>
        <w:jc w:val="both"/>
        <w:rPr>
          <w:rFonts w:asciiTheme="majorHAnsi" w:hAnsiTheme="majorHAnsi"/>
          <w:lang w:eastAsia="en-AU"/>
        </w:rPr>
      </w:pPr>
      <w:r w:rsidRPr="00F70B8C">
        <w:rPr>
          <w:rFonts w:asciiTheme="majorHAnsi" w:hAnsiTheme="majorHAnsi"/>
          <w:lang w:eastAsia="en-AU"/>
        </w:rPr>
        <w:t>maintain and update student details obtained on enrolment</w:t>
      </w:r>
    </w:p>
    <w:p w:rsidR="003921BB" w:rsidRPr="00F70B8C" w:rsidRDefault="003921BB" w:rsidP="003921BB">
      <w:pPr>
        <w:pStyle w:val="ListParagraph"/>
        <w:numPr>
          <w:ilvl w:val="0"/>
          <w:numId w:val="17"/>
        </w:numPr>
        <w:ind w:left="1418" w:hanging="425"/>
        <w:jc w:val="both"/>
        <w:rPr>
          <w:rFonts w:asciiTheme="majorHAnsi" w:hAnsiTheme="majorHAnsi"/>
          <w:lang w:eastAsia="en-AU"/>
        </w:rPr>
      </w:pPr>
      <w:r w:rsidRPr="00F70B8C">
        <w:rPr>
          <w:rFonts w:asciiTheme="majorHAnsi" w:hAnsiTheme="majorHAnsi"/>
          <w:lang w:eastAsia="en-AU"/>
        </w:rPr>
        <w:t>keep all information confidential and managed in accordance with DET’s privacy policy and Victorian privacy laws</w:t>
      </w:r>
    </w:p>
    <w:p w:rsidR="00A66E40" w:rsidRPr="00F70B8C" w:rsidRDefault="00A66E40" w:rsidP="00A66E40">
      <w:pPr>
        <w:pStyle w:val="NoSpacing"/>
        <w:numPr>
          <w:ilvl w:val="0"/>
          <w:numId w:val="14"/>
        </w:numPr>
        <w:jc w:val="both"/>
        <w:rPr>
          <w:rFonts w:asciiTheme="majorHAnsi" w:hAnsiTheme="majorHAnsi"/>
          <w:sz w:val="24"/>
          <w:szCs w:val="24"/>
        </w:rPr>
      </w:pPr>
      <w:r w:rsidRPr="00F70B8C">
        <w:rPr>
          <w:rFonts w:asciiTheme="majorHAnsi" w:hAnsiTheme="majorHAnsi"/>
          <w:sz w:val="24"/>
          <w:szCs w:val="24"/>
        </w:rPr>
        <w:t>Enrolment data is entered for children who are new to the Victorian government school system.</w:t>
      </w:r>
    </w:p>
    <w:p w:rsidR="00A66E40" w:rsidRPr="00F70B8C" w:rsidRDefault="00A66E40" w:rsidP="00A66E40">
      <w:pPr>
        <w:pStyle w:val="NoSpacing"/>
        <w:numPr>
          <w:ilvl w:val="0"/>
          <w:numId w:val="14"/>
        </w:numPr>
        <w:jc w:val="both"/>
        <w:rPr>
          <w:rFonts w:asciiTheme="majorHAnsi" w:eastAsia="Times New Roman" w:hAnsiTheme="majorHAnsi"/>
          <w:sz w:val="24"/>
          <w:szCs w:val="24"/>
          <w:lang w:eastAsia="en-AU"/>
        </w:rPr>
      </w:pPr>
      <w:r w:rsidRPr="00F70B8C">
        <w:rPr>
          <w:rFonts w:asciiTheme="majorHAnsi" w:eastAsia="Times New Roman" w:hAnsiTheme="majorHAnsi"/>
          <w:sz w:val="24"/>
          <w:szCs w:val="24"/>
          <w:lang w:eastAsia="en-AU"/>
        </w:rPr>
        <w:t xml:space="preserve">Data is: </w:t>
      </w:r>
    </w:p>
    <w:p w:rsidR="00A66E40" w:rsidRPr="00F70B8C" w:rsidRDefault="00A66E40" w:rsidP="00A66E40">
      <w:pPr>
        <w:pStyle w:val="NoSpacing"/>
        <w:numPr>
          <w:ilvl w:val="0"/>
          <w:numId w:val="8"/>
        </w:numPr>
        <w:spacing w:afterAutospacing="1"/>
        <w:ind w:right="-45"/>
        <w:jc w:val="both"/>
        <w:rPr>
          <w:rFonts w:asciiTheme="majorHAnsi" w:eastAsia="Times New Roman" w:hAnsiTheme="majorHAnsi"/>
          <w:sz w:val="24"/>
          <w:szCs w:val="24"/>
          <w:lang w:eastAsia="en-AU"/>
        </w:rPr>
      </w:pPr>
      <w:r w:rsidRPr="00F70B8C">
        <w:rPr>
          <w:rFonts w:asciiTheme="majorHAnsi" w:eastAsia="Times New Roman" w:hAnsiTheme="majorHAnsi"/>
          <w:sz w:val="24"/>
          <w:szCs w:val="24"/>
          <w:lang w:eastAsia="en-AU"/>
        </w:rPr>
        <w:t>confirmed/updated and signed by the parent/carer when children transfer</w:t>
      </w:r>
    </w:p>
    <w:p w:rsidR="00A66E40" w:rsidRPr="00F70B8C" w:rsidRDefault="00A66E40" w:rsidP="00A66E40">
      <w:pPr>
        <w:pStyle w:val="NoSpacing"/>
        <w:numPr>
          <w:ilvl w:val="0"/>
          <w:numId w:val="8"/>
        </w:numPr>
        <w:spacing w:afterAutospacing="1"/>
        <w:ind w:right="-45"/>
        <w:jc w:val="both"/>
        <w:rPr>
          <w:rFonts w:asciiTheme="majorHAnsi" w:eastAsia="Times New Roman" w:hAnsiTheme="majorHAnsi"/>
          <w:sz w:val="24"/>
          <w:szCs w:val="24"/>
          <w:lang w:eastAsia="en-AU"/>
        </w:rPr>
      </w:pPr>
      <w:r w:rsidRPr="00F70B8C">
        <w:rPr>
          <w:rFonts w:asciiTheme="majorHAnsi" w:eastAsia="Times New Roman" w:hAnsiTheme="majorHAnsi"/>
          <w:sz w:val="24"/>
          <w:szCs w:val="24"/>
          <w:lang w:eastAsia="en-AU"/>
        </w:rPr>
        <w:t>updated when changes occur, such as guardianship</w:t>
      </w:r>
    </w:p>
    <w:p w:rsidR="00A66E40" w:rsidRPr="00F70B8C" w:rsidRDefault="00A66E40" w:rsidP="00A66E40">
      <w:pPr>
        <w:pStyle w:val="NoSpacing"/>
        <w:numPr>
          <w:ilvl w:val="0"/>
          <w:numId w:val="8"/>
        </w:numPr>
        <w:spacing w:afterAutospacing="1"/>
        <w:ind w:right="-45"/>
        <w:jc w:val="both"/>
        <w:rPr>
          <w:rFonts w:asciiTheme="majorHAnsi" w:eastAsia="Times New Roman" w:hAnsiTheme="majorHAnsi"/>
          <w:sz w:val="24"/>
          <w:szCs w:val="24"/>
          <w:lang w:eastAsia="en-AU"/>
        </w:rPr>
      </w:pPr>
      <w:r w:rsidRPr="00F70B8C">
        <w:rPr>
          <w:rFonts w:asciiTheme="majorHAnsi" w:eastAsia="Times New Roman" w:hAnsiTheme="majorHAnsi"/>
          <w:sz w:val="24"/>
          <w:szCs w:val="24"/>
          <w:lang w:eastAsia="en-AU"/>
        </w:rPr>
        <w:t xml:space="preserve">reviewed half yearly, specifically parent/carer contact information, see: CASES21 Administration User Guide for guidance including processes for generating the Student Enrolment Information Form and Student Information Full Details Report, , see: </w:t>
      </w:r>
      <w:hyperlink r:id="rId10" w:history="1">
        <w:r w:rsidRPr="00F70B8C">
          <w:rPr>
            <w:rFonts w:asciiTheme="majorHAnsi" w:eastAsia="Times New Roman" w:hAnsiTheme="majorHAnsi"/>
            <w:color w:val="0072BC"/>
            <w:sz w:val="24"/>
            <w:szCs w:val="24"/>
            <w:lang w:eastAsia="en-AU"/>
          </w:rPr>
          <w:t>CASES21</w:t>
        </w:r>
      </w:hyperlink>
      <w:r w:rsidRPr="00F70B8C">
        <w:rPr>
          <w:rFonts w:asciiTheme="majorHAnsi" w:eastAsia="Times New Roman" w:hAnsiTheme="majorHAnsi"/>
          <w:sz w:val="24"/>
          <w:szCs w:val="24"/>
          <w:lang w:eastAsia="en-AU"/>
        </w:rPr>
        <w:t> </w:t>
      </w:r>
    </w:p>
    <w:p w:rsidR="00A66E40" w:rsidRPr="00F70B8C" w:rsidRDefault="00A66E40" w:rsidP="00A66E40">
      <w:pPr>
        <w:pStyle w:val="NoSpacing"/>
        <w:numPr>
          <w:ilvl w:val="0"/>
          <w:numId w:val="8"/>
        </w:numPr>
        <w:spacing w:afterAutospacing="1"/>
        <w:ind w:right="-45"/>
        <w:jc w:val="both"/>
        <w:rPr>
          <w:rFonts w:asciiTheme="majorHAnsi" w:eastAsia="Times New Roman" w:hAnsiTheme="majorHAnsi"/>
          <w:sz w:val="24"/>
          <w:szCs w:val="24"/>
          <w:lang w:eastAsia="en-AU"/>
        </w:rPr>
      </w:pPr>
      <w:r w:rsidRPr="00F70B8C">
        <w:rPr>
          <w:rFonts w:asciiTheme="majorHAnsi" w:eastAsia="Times New Roman" w:hAnsiTheme="majorHAnsi"/>
          <w:sz w:val="24"/>
          <w:szCs w:val="24"/>
          <w:lang w:eastAsia="en-AU"/>
        </w:rPr>
        <w:t>revised annually for State and Commonwealth reporting</w:t>
      </w:r>
    </w:p>
    <w:p w:rsidR="00A66E40" w:rsidRPr="00F70B8C" w:rsidRDefault="00A66E40" w:rsidP="00A66E40">
      <w:pPr>
        <w:pStyle w:val="NoSpacing"/>
        <w:numPr>
          <w:ilvl w:val="0"/>
          <w:numId w:val="8"/>
        </w:numPr>
        <w:spacing w:afterAutospacing="1"/>
        <w:ind w:right="-45"/>
        <w:jc w:val="both"/>
        <w:rPr>
          <w:rFonts w:asciiTheme="majorHAnsi" w:eastAsia="Times New Roman" w:hAnsiTheme="majorHAnsi"/>
          <w:sz w:val="24"/>
          <w:szCs w:val="24"/>
          <w:lang w:eastAsia="en-AU"/>
        </w:rPr>
      </w:pPr>
      <w:r w:rsidRPr="00F70B8C">
        <w:rPr>
          <w:rFonts w:asciiTheme="majorHAnsi" w:eastAsia="Times New Roman" w:hAnsiTheme="majorHAnsi"/>
          <w:sz w:val="24"/>
          <w:szCs w:val="24"/>
          <w:lang w:eastAsia="en-AU"/>
        </w:rPr>
        <w:t>updated when informed by parents/carers of changes to family circumstances</w:t>
      </w:r>
    </w:p>
    <w:p w:rsidR="003921BB" w:rsidRPr="00F70B8C" w:rsidRDefault="003921BB" w:rsidP="003921BB">
      <w:pPr>
        <w:pStyle w:val="NoSpacing"/>
        <w:numPr>
          <w:ilvl w:val="0"/>
          <w:numId w:val="19"/>
        </w:numPr>
        <w:ind w:left="851" w:hanging="578"/>
        <w:jc w:val="both"/>
        <w:rPr>
          <w:rFonts w:asciiTheme="majorHAnsi" w:hAnsiTheme="majorHAnsi"/>
          <w:sz w:val="24"/>
          <w:szCs w:val="24"/>
          <w:lang w:eastAsia="en-AU"/>
        </w:rPr>
      </w:pPr>
      <w:r w:rsidRPr="00F70B8C">
        <w:rPr>
          <w:rFonts w:asciiTheme="majorHAnsi" w:hAnsiTheme="majorHAnsi"/>
          <w:sz w:val="24"/>
          <w:szCs w:val="24"/>
          <w:lang w:eastAsia="en-AU"/>
        </w:rPr>
        <w:t>Where students are moving from one government school to another government school, student data can be transferred using CASES21 (mandatory from July 2017) and: </w:t>
      </w:r>
    </w:p>
    <w:p w:rsidR="003921BB" w:rsidRPr="00F70B8C" w:rsidRDefault="003921BB" w:rsidP="003921BB">
      <w:pPr>
        <w:pStyle w:val="NoSpacing"/>
        <w:numPr>
          <w:ilvl w:val="0"/>
          <w:numId w:val="20"/>
        </w:numPr>
        <w:ind w:left="1560" w:hanging="567"/>
        <w:jc w:val="both"/>
        <w:rPr>
          <w:rFonts w:asciiTheme="majorHAnsi" w:hAnsiTheme="majorHAnsi"/>
          <w:sz w:val="24"/>
          <w:szCs w:val="24"/>
          <w:lang w:eastAsia="en-AU"/>
        </w:rPr>
      </w:pPr>
      <w:r w:rsidRPr="00F70B8C">
        <w:rPr>
          <w:rFonts w:asciiTheme="majorHAnsi" w:hAnsiTheme="majorHAnsi"/>
          <w:sz w:val="24"/>
          <w:szCs w:val="24"/>
          <w:lang w:eastAsia="en-AU"/>
        </w:rPr>
        <w:t>parents are not required to complete a new enrolment form if data is transferred using CASES21</w:t>
      </w:r>
    </w:p>
    <w:p w:rsidR="003921BB" w:rsidRPr="00F70B8C" w:rsidRDefault="003921BB" w:rsidP="003921BB">
      <w:pPr>
        <w:pStyle w:val="NoSpacing"/>
        <w:numPr>
          <w:ilvl w:val="0"/>
          <w:numId w:val="20"/>
        </w:numPr>
        <w:ind w:left="1560" w:hanging="567"/>
        <w:jc w:val="both"/>
        <w:rPr>
          <w:rFonts w:asciiTheme="majorHAnsi" w:hAnsiTheme="majorHAnsi"/>
          <w:sz w:val="24"/>
          <w:szCs w:val="24"/>
          <w:lang w:eastAsia="en-AU"/>
        </w:rPr>
      </w:pPr>
      <w:r w:rsidRPr="00F70B8C">
        <w:rPr>
          <w:rFonts w:asciiTheme="majorHAnsi" w:hAnsiTheme="majorHAnsi"/>
          <w:sz w:val="24"/>
          <w:szCs w:val="24"/>
          <w:lang w:eastAsia="en-AU"/>
        </w:rPr>
        <w:t>schools must not create a new student record in CASES21 – this will create a duplicate record</w:t>
      </w:r>
    </w:p>
    <w:p w:rsidR="003921BB" w:rsidRPr="00F70B8C" w:rsidRDefault="003921BB" w:rsidP="003921BB">
      <w:pPr>
        <w:pStyle w:val="NoSpacing"/>
        <w:numPr>
          <w:ilvl w:val="0"/>
          <w:numId w:val="20"/>
        </w:numPr>
        <w:ind w:left="1560" w:hanging="567"/>
        <w:jc w:val="both"/>
        <w:rPr>
          <w:rFonts w:asciiTheme="majorHAnsi" w:hAnsiTheme="majorHAnsi"/>
          <w:sz w:val="24"/>
          <w:szCs w:val="24"/>
          <w:lang w:eastAsia="en-AU"/>
        </w:rPr>
      </w:pPr>
      <w:r w:rsidRPr="00F70B8C">
        <w:rPr>
          <w:rFonts w:asciiTheme="majorHAnsi" w:hAnsiTheme="majorHAnsi"/>
          <w:sz w:val="24"/>
          <w:szCs w:val="24"/>
          <w:lang w:eastAsia="en-AU"/>
        </w:rPr>
        <w:t>schools are required to send a copy of the Student Enrolment Information Form to the parent for checking, updating and signing to ensure student data is current and accurate. </w:t>
      </w:r>
    </w:p>
    <w:p w:rsidR="00F70B8C" w:rsidRDefault="003921BB" w:rsidP="00F70B8C">
      <w:pPr>
        <w:pStyle w:val="ListParagraph"/>
        <w:numPr>
          <w:ilvl w:val="0"/>
          <w:numId w:val="5"/>
        </w:numPr>
        <w:ind w:left="993" w:right="-45" w:hanging="567"/>
        <w:jc w:val="both"/>
        <w:rPr>
          <w:rFonts w:asciiTheme="majorHAnsi" w:hAnsiTheme="majorHAnsi"/>
          <w:lang w:val="en-US" w:eastAsia="en-AU"/>
        </w:rPr>
      </w:pPr>
      <w:r w:rsidRPr="00F70B8C">
        <w:rPr>
          <w:rFonts w:asciiTheme="majorHAnsi" w:hAnsiTheme="majorHAnsi"/>
          <w:lang w:val="en-US" w:eastAsia="en-AU"/>
        </w:rPr>
        <w:t xml:space="preserve">If requested, the school can change the name under which a child is enrolled if new legal documentation with an amended name is provided, such as an officially amended birth certificate, proof of adoption, court order </w:t>
      </w:r>
      <w:proofErr w:type="spellStart"/>
      <w:r w:rsidRPr="00F70B8C">
        <w:rPr>
          <w:rFonts w:asciiTheme="majorHAnsi" w:hAnsiTheme="majorHAnsi"/>
          <w:lang w:val="en-US" w:eastAsia="en-AU"/>
        </w:rPr>
        <w:t>authorising</w:t>
      </w:r>
      <w:proofErr w:type="spellEnd"/>
      <w:r w:rsidRPr="00F70B8C">
        <w:rPr>
          <w:rFonts w:asciiTheme="majorHAnsi" w:hAnsiTheme="majorHAnsi"/>
          <w:lang w:val="en-US" w:eastAsia="en-AU"/>
        </w:rPr>
        <w:t xml:space="preserve"> another name, supporting documentation, which was not originally available, differs from the name provided during conditional enrolment  or proof is provided that the enrolling </w:t>
      </w:r>
      <w:r w:rsidRPr="00F70B8C">
        <w:rPr>
          <w:rFonts w:asciiTheme="majorHAnsi" w:hAnsiTheme="majorHAnsi"/>
          <w:lang w:val="en-US" w:eastAsia="en-AU"/>
        </w:rPr>
        <w:lastRenderedPageBreak/>
        <w:t>parent/</w:t>
      </w:r>
      <w:proofErr w:type="spellStart"/>
      <w:r w:rsidRPr="00F70B8C">
        <w:rPr>
          <w:rFonts w:asciiTheme="majorHAnsi" w:hAnsiTheme="majorHAnsi"/>
          <w:lang w:val="en-US" w:eastAsia="en-AU"/>
        </w:rPr>
        <w:t>carer</w:t>
      </w:r>
      <w:proofErr w:type="spellEnd"/>
      <w:r w:rsidRPr="00F70B8C">
        <w:rPr>
          <w:rFonts w:asciiTheme="majorHAnsi" w:hAnsiTheme="majorHAnsi"/>
          <w:lang w:val="en-US" w:eastAsia="en-AU"/>
        </w:rPr>
        <w:t xml:space="preserve"> or the child is using another name under a scheme designed to ensure their safety, such as witness protection.</w:t>
      </w:r>
    </w:p>
    <w:p w:rsidR="003921BB" w:rsidRPr="00F70B8C" w:rsidRDefault="003921BB" w:rsidP="00F70B8C">
      <w:pPr>
        <w:pStyle w:val="ListParagraph"/>
        <w:numPr>
          <w:ilvl w:val="0"/>
          <w:numId w:val="5"/>
        </w:numPr>
        <w:ind w:left="993" w:right="-45" w:hanging="567"/>
        <w:jc w:val="both"/>
        <w:rPr>
          <w:rFonts w:asciiTheme="majorHAnsi" w:hAnsiTheme="majorHAnsi"/>
          <w:lang w:val="en-US" w:eastAsia="en-AU"/>
        </w:rPr>
      </w:pPr>
      <w:r w:rsidRPr="00F70B8C">
        <w:rPr>
          <w:rFonts w:asciiTheme="majorHAnsi" w:hAnsiTheme="majorHAnsi" w:cs="Segoe UI"/>
          <w:b/>
        </w:rPr>
        <w:t>Note</w:t>
      </w:r>
      <w:r w:rsidRPr="00F70B8C">
        <w:rPr>
          <w:rFonts w:asciiTheme="majorHAnsi" w:hAnsiTheme="majorHAnsi" w:cs="Segoe UI"/>
        </w:rPr>
        <w:t>: </w:t>
      </w:r>
      <w:proofErr w:type="gramStart"/>
      <w:r w:rsidRPr="00F70B8C">
        <w:rPr>
          <w:rFonts w:asciiTheme="majorHAnsi" w:hAnsiTheme="majorHAnsi" w:cs="Segoe UI"/>
        </w:rPr>
        <w:t>The majority of</w:t>
      </w:r>
      <w:proofErr w:type="gramEnd"/>
      <w:r w:rsidRPr="00F70B8C">
        <w:rPr>
          <w:rFonts w:asciiTheme="majorHAnsi" w:hAnsiTheme="majorHAnsi" w:cs="Segoe UI"/>
        </w:rPr>
        <w:t xml:space="preserve"> children enrolled prior to 2009, with names different from those appearing on their birth certificate due to previous Department policy; can continue to be enrolled in these names.</w:t>
      </w:r>
    </w:p>
    <w:p w:rsidR="003921BB" w:rsidRPr="00F70B8C" w:rsidRDefault="003921BB" w:rsidP="003921BB">
      <w:pPr>
        <w:pStyle w:val="ListParagraph"/>
        <w:numPr>
          <w:ilvl w:val="0"/>
          <w:numId w:val="5"/>
        </w:numPr>
        <w:ind w:left="993" w:right="-45" w:hanging="567"/>
        <w:jc w:val="both"/>
        <w:rPr>
          <w:rFonts w:asciiTheme="majorHAnsi" w:hAnsiTheme="majorHAnsi"/>
          <w:lang w:val="en-US" w:eastAsia="en-AU"/>
        </w:rPr>
      </w:pPr>
      <w:r w:rsidRPr="00F70B8C">
        <w:rPr>
          <w:rFonts w:asciiTheme="majorHAnsi" w:hAnsiTheme="majorHAnsi"/>
          <w:lang w:val="en-US" w:eastAsia="en-AU"/>
        </w:rPr>
        <w:t>The school will maintain an enrolment database on CASES21 which includes admission forms, transfer information, the register, and class lists.  Enrolment data is entered at the beginning of the year for Foundation (Prep) and is added when children transfer and updated if information changes.</w:t>
      </w:r>
    </w:p>
    <w:p w:rsidR="003921BB" w:rsidRPr="00F70B8C" w:rsidRDefault="003921BB" w:rsidP="003921BB">
      <w:pPr>
        <w:pStyle w:val="NoSpacing"/>
        <w:numPr>
          <w:ilvl w:val="0"/>
          <w:numId w:val="4"/>
        </w:numPr>
        <w:spacing w:afterAutospacing="1"/>
        <w:ind w:left="993" w:hanging="567"/>
        <w:jc w:val="both"/>
        <w:rPr>
          <w:rFonts w:asciiTheme="majorHAnsi" w:hAnsiTheme="majorHAnsi"/>
          <w:sz w:val="24"/>
          <w:szCs w:val="24"/>
          <w:lang w:eastAsia="en-AU"/>
        </w:rPr>
      </w:pPr>
      <w:r w:rsidRPr="00F70B8C">
        <w:rPr>
          <w:rFonts w:asciiTheme="majorHAnsi" w:hAnsiTheme="majorHAnsi"/>
          <w:sz w:val="24"/>
          <w:szCs w:val="24"/>
          <w:lang w:eastAsia="en-AU"/>
        </w:rPr>
        <w:t>Where children are moving from one government school to another government school, enrolment data can be transferred using CASES21 (mandatory from July 2017) and</w:t>
      </w:r>
      <w:r w:rsidR="00F70B8C">
        <w:rPr>
          <w:rFonts w:asciiTheme="majorHAnsi" w:hAnsiTheme="majorHAnsi"/>
          <w:sz w:val="24"/>
          <w:szCs w:val="24"/>
          <w:lang w:eastAsia="en-AU"/>
        </w:rPr>
        <w:t>:</w:t>
      </w:r>
    </w:p>
    <w:p w:rsidR="003921BB" w:rsidRPr="00F70B8C" w:rsidRDefault="003921BB" w:rsidP="003921BB">
      <w:pPr>
        <w:pStyle w:val="NoSpacing"/>
        <w:numPr>
          <w:ilvl w:val="0"/>
          <w:numId w:val="7"/>
        </w:numPr>
        <w:spacing w:afterAutospacing="1"/>
        <w:jc w:val="both"/>
        <w:rPr>
          <w:rFonts w:asciiTheme="majorHAnsi" w:hAnsiTheme="majorHAnsi"/>
          <w:sz w:val="24"/>
          <w:szCs w:val="24"/>
          <w:lang w:eastAsia="en-AU"/>
        </w:rPr>
      </w:pPr>
      <w:r w:rsidRPr="00F70B8C">
        <w:rPr>
          <w:rFonts w:asciiTheme="majorHAnsi" w:hAnsiTheme="majorHAnsi"/>
          <w:sz w:val="24"/>
          <w:szCs w:val="24"/>
          <w:lang w:eastAsia="en-AU"/>
        </w:rPr>
        <w:t>parents/carers are not required to complete a new enrolment form if data is transferred using CASES21</w:t>
      </w:r>
    </w:p>
    <w:p w:rsidR="003921BB" w:rsidRPr="00F70B8C" w:rsidRDefault="003921BB" w:rsidP="003921BB">
      <w:pPr>
        <w:pStyle w:val="NoSpacing"/>
        <w:numPr>
          <w:ilvl w:val="0"/>
          <w:numId w:val="7"/>
        </w:numPr>
        <w:spacing w:afterAutospacing="1"/>
        <w:jc w:val="both"/>
        <w:rPr>
          <w:rFonts w:asciiTheme="majorHAnsi" w:hAnsiTheme="majorHAnsi"/>
          <w:sz w:val="24"/>
          <w:szCs w:val="24"/>
          <w:lang w:eastAsia="en-AU"/>
        </w:rPr>
      </w:pPr>
      <w:r w:rsidRPr="00F70B8C">
        <w:rPr>
          <w:rFonts w:asciiTheme="majorHAnsi" w:hAnsiTheme="majorHAnsi"/>
          <w:sz w:val="24"/>
          <w:szCs w:val="24"/>
          <w:lang w:eastAsia="en-AU"/>
        </w:rPr>
        <w:t>schools must not create a new record in CASES21 – this will create a duplicate record</w:t>
      </w:r>
    </w:p>
    <w:p w:rsidR="003921BB" w:rsidRPr="00F70B8C" w:rsidRDefault="003921BB" w:rsidP="003921BB">
      <w:pPr>
        <w:pStyle w:val="NoSpacing"/>
        <w:numPr>
          <w:ilvl w:val="0"/>
          <w:numId w:val="7"/>
        </w:numPr>
        <w:spacing w:afterAutospacing="1"/>
        <w:jc w:val="both"/>
        <w:rPr>
          <w:rFonts w:asciiTheme="majorHAnsi" w:hAnsiTheme="majorHAnsi"/>
          <w:sz w:val="24"/>
          <w:szCs w:val="24"/>
          <w:lang w:eastAsia="en-AU"/>
        </w:rPr>
      </w:pPr>
      <w:r w:rsidRPr="00F70B8C">
        <w:rPr>
          <w:rFonts w:asciiTheme="majorHAnsi" w:hAnsiTheme="majorHAnsi"/>
          <w:sz w:val="24"/>
          <w:szCs w:val="24"/>
          <w:lang w:eastAsia="en-AU"/>
        </w:rPr>
        <w:t>schools are required to send a copy of the Student Enrolment Information Form to the parent/carer for checking, updating and signing to ensure data is current and accurate. </w:t>
      </w:r>
    </w:p>
    <w:p w:rsidR="003921BB" w:rsidRPr="00F70B8C" w:rsidRDefault="00240382" w:rsidP="003921BB">
      <w:pPr>
        <w:pStyle w:val="ListParagraph"/>
        <w:ind w:left="1134" w:hanging="850"/>
        <w:jc w:val="both"/>
        <w:rPr>
          <w:rStyle w:val="SubtleReference"/>
        </w:rPr>
      </w:pPr>
      <w:hyperlink r:id="rId11" w:history="1">
        <w:r w:rsidR="003921BB" w:rsidRPr="00F70B8C">
          <w:rPr>
            <w:rStyle w:val="SubtleReference"/>
          </w:rPr>
          <w:t>Immunisation</w:t>
        </w:r>
      </w:hyperlink>
    </w:p>
    <w:p w:rsidR="00F70B8C" w:rsidRPr="00F70B8C" w:rsidRDefault="003921BB" w:rsidP="003921BB">
      <w:pPr>
        <w:pStyle w:val="ListParagraph"/>
        <w:numPr>
          <w:ilvl w:val="0"/>
          <w:numId w:val="5"/>
        </w:numPr>
        <w:ind w:right="-45" w:hanging="567"/>
        <w:jc w:val="both"/>
        <w:rPr>
          <w:rFonts w:asciiTheme="majorHAnsi" w:hAnsiTheme="majorHAnsi" w:cs="Arial"/>
        </w:rPr>
      </w:pPr>
      <w:r w:rsidRPr="00F70B8C">
        <w:rPr>
          <w:rFonts w:asciiTheme="majorHAnsi" w:hAnsiTheme="majorHAnsi" w:cs="Arial"/>
          <w:lang w:val="en-US"/>
        </w:rPr>
        <w:t xml:space="preserve">The school will check and retain the </w:t>
      </w:r>
      <w:proofErr w:type="spellStart"/>
      <w:r w:rsidRPr="00F70B8C">
        <w:rPr>
          <w:rFonts w:asciiTheme="majorHAnsi" w:hAnsiTheme="majorHAnsi" w:cs="Arial"/>
          <w:lang w:val="en-US"/>
        </w:rPr>
        <w:t>immunisation</w:t>
      </w:r>
      <w:proofErr w:type="spellEnd"/>
      <w:r w:rsidRPr="00F70B8C">
        <w:rPr>
          <w:rFonts w:asciiTheme="majorHAnsi" w:hAnsiTheme="majorHAnsi" w:cs="Arial"/>
          <w:lang w:val="en-US"/>
        </w:rPr>
        <w:t xml:space="preserve"> status certificate which indicates whether primary children have been </w:t>
      </w:r>
      <w:proofErr w:type="spellStart"/>
      <w:r w:rsidRPr="00F70B8C">
        <w:rPr>
          <w:rFonts w:asciiTheme="majorHAnsi" w:hAnsiTheme="majorHAnsi" w:cs="Arial"/>
          <w:lang w:val="en-US"/>
        </w:rPr>
        <w:t>immunised</w:t>
      </w:r>
      <w:proofErr w:type="spellEnd"/>
      <w:r w:rsidRPr="00F70B8C">
        <w:rPr>
          <w:rFonts w:asciiTheme="majorHAnsi" w:hAnsiTheme="majorHAnsi" w:cs="Arial"/>
          <w:lang w:val="en-US"/>
        </w:rPr>
        <w:t xml:space="preserve"> against some or </w:t>
      </w:r>
      <w:proofErr w:type="gramStart"/>
      <w:r w:rsidRPr="00F70B8C">
        <w:rPr>
          <w:rFonts w:asciiTheme="majorHAnsi" w:hAnsiTheme="majorHAnsi" w:cs="Arial"/>
          <w:lang w:val="en-US"/>
        </w:rPr>
        <w:t>all of</w:t>
      </w:r>
      <w:proofErr w:type="gramEnd"/>
      <w:r w:rsidRPr="00F70B8C">
        <w:rPr>
          <w:rFonts w:asciiTheme="majorHAnsi" w:hAnsiTheme="majorHAnsi" w:cs="Arial"/>
          <w:lang w:val="en-US"/>
        </w:rPr>
        <w:t xml:space="preserve"> a number of infectious diseases.</w:t>
      </w:r>
    </w:p>
    <w:p w:rsidR="003921BB" w:rsidRPr="00F70B8C" w:rsidRDefault="003921BB" w:rsidP="003921BB">
      <w:pPr>
        <w:pStyle w:val="ListParagraph"/>
        <w:numPr>
          <w:ilvl w:val="0"/>
          <w:numId w:val="5"/>
        </w:numPr>
        <w:ind w:right="-45" w:hanging="567"/>
        <w:jc w:val="both"/>
        <w:rPr>
          <w:rFonts w:asciiTheme="majorHAnsi" w:hAnsiTheme="majorHAnsi" w:cs="Arial"/>
        </w:rPr>
      </w:pPr>
      <w:r w:rsidRPr="00F70B8C">
        <w:rPr>
          <w:rFonts w:asciiTheme="majorHAnsi" w:hAnsiTheme="majorHAnsi" w:cs="Arial"/>
          <w:b/>
        </w:rPr>
        <w:t>Note</w:t>
      </w:r>
      <w:r w:rsidRPr="00F70B8C">
        <w:rPr>
          <w:rFonts w:asciiTheme="majorHAnsi" w:hAnsiTheme="majorHAnsi" w:cs="Arial"/>
        </w:rPr>
        <w:t>: It is not sufficient to sight the stamped immunisation booklet.</w:t>
      </w:r>
    </w:p>
    <w:p w:rsidR="003921BB" w:rsidRPr="00F70B8C" w:rsidRDefault="003921BB" w:rsidP="003921BB">
      <w:pPr>
        <w:numPr>
          <w:ilvl w:val="0"/>
          <w:numId w:val="6"/>
        </w:numPr>
        <w:spacing w:after="0" w:line="240" w:lineRule="auto"/>
        <w:ind w:left="1134" w:hanging="567"/>
        <w:jc w:val="both"/>
        <w:rPr>
          <w:rFonts w:asciiTheme="majorHAnsi" w:hAnsiTheme="majorHAnsi"/>
          <w:sz w:val="24"/>
          <w:szCs w:val="24"/>
        </w:rPr>
      </w:pPr>
      <w:r w:rsidRPr="00F70B8C">
        <w:rPr>
          <w:rFonts w:asciiTheme="majorHAnsi" w:hAnsiTheme="majorHAnsi" w:cs="Arial"/>
          <w:sz w:val="24"/>
          <w:szCs w:val="24"/>
        </w:rPr>
        <w:t xml:space="preserve">The school will maintain a file containing immunisation certificates.  </w:t>
      </w:r>
      <w:r w:rsidRPr="00F70B8C">
        <w:rPr>
          <w:rFonts w:asciiTheme="majorHAnsi" w:hAnsiTheme="majorHAnsi" w:cs="Arial"/>
          <w:sz w:val="24"/>
          <w:szCs w:val="24"/>
          <w:lang w:val="en-US"/>
        </w:rPr>
        <w:t xml:space="preserve">This will be referred to if there is an outbreak of disease or if the child transfers in which case it will be attached to the transfer form.  </w:t>
      </w:r>
    </w:p>
    <w:p w:rsidR="003921BB" w:rsidRPr="00F70B8C" w:rsidRDefault="003921BB" w:rsidP="00F70B8C">
      <w:pPr>
        <w:numPr>
          <w:ilvl w:val="0"/>
          <w:numId w:val="6"/>
        </w:numPr>
        <w:spacing w:after="0" w:line="240" w:lineRule="auto"/>
        <w:ind w:left="1134" w:hanging="567"/>
        <w:jc w:val="both"/>
        <w:rPr>
          <w:rFonts w:asciiTheme="majorHAnsi" w:hAnsiTheme="majorHAnsi"/>
          <w:sz w:val="24"/>
          <w:szCs w:val="24"/>
        </w:rPr>
      </w:pPr>
      <w:r w:rsidRPr="00F70B8C">
        <w:rPr>
          <w:rFonts w:asciiTheme="majorHAnsi" w:hAnsiTheme="majorHAnsi" w:cs="Arial"/>
          <w:sz w:val="24"/>
          <w:szCs w:val="24"/>
        </w:rPr>
        <w:t xml:space="preserve">Parents/carers of children not immunised will be instructed to keep their children at home for the recommended period, as outlined in the Department of Health’s School exclusion table, see: </w:t>
      </w:r>
      <w:r w:rsidRPr="00F70B8C">
        <w:rPr>
          <w:rFonts w:asciiTheme="majorHAnsi" w:hAnsiTheme="majorHAnsi" w:cs="Arial"/>
          <w:color w:val="0070C0"/>
          <w:sz w:val="24"/>
          <w:szCs w:val="24"/>
        </w:rPr>
        <w:t>Immunisation</w:t>
      </w:r>
    </w:p>
    <w:p w:rsidR="003921BB" w:rsidRPr="00F70B8C" w:rsidRDefault="003921BB" w:rsidP="00F70B8C">
      <w:pPr>
        <w:ind w:left="284"/>
        <w:jc w:val="both"/>
        <w:rPr>
          <w:rFonts w:asciiTheme="majorHAnsi" w:hAnsiTheme="majorHAnsi"/>
          <w:sz w:val="24"/>
          <w:szCs w:val="24"/>
          <w:lang w:val="en" w:eastAsia="en-AU"/>
        </w:rPr>
      </w:pPr>
      <w:r w:rsidRPr="00F70B8C">
        <w:rPr>
          <w:rFonts w:asciiTheme="majorHAnsi" w:hAnsiTheme="majorHAnsi"/>
          <w:sz w:val="24"/>
          <w:szCs w:val="24"/>
          <w:lang w:val="en" w:eastAsia="en-AU"/>
        </w:rPr>
        <w:t xml:space="preserve">Secondary schools play </w:t>
      </w:r>
      <w:proofErr w:type="gramStart"/>
      <w:r w:rsidRPr="00F70B8C">
        <w:rPr>
          <w:rFonts w:asciiTheme="majorHAnsi" w:hAnsiTheme="majorHAnsi"/>
          <w:sz w:val="24"/>
          <w:szCs w:val="24"/>
          <w:lang w:val="en" w:eastAsia="en-AU"/>
        </w:rPr>
        <w:t>an important role</w:t>
      </w:r>
      <w:proofErr w:type="gramEnd"/>
      <w:r w:rsidRPr="00F70B8C">
        <w:rPr>
          <w:rFonts w:asciiTheme="majorHAnsi" w:hAnsiTheme="majorHAnsi"/>
          <w:sz w:val="24"/>
          <w:szCs w:val="24"/>
          <w:lang w:val="en" w:eastAsia="en-AU"/>
        </w:rPr>
        <w:t xml:space="preserve"> in supporting </w:t>
      </w:r>
      <w:proofErr w:type="spellStart"/>
      <w:r w:rsidRPr="00F70B8C">
        <w:rPr>
          <w:rFonts w:asciiTheme="majorHAnsi" w:hAnsiTheme="majorHAnsi"/>
          <w:sz w:val="24"/>
          <w:szCs w:val="24"/>
          <w:lang w:val="en" w:eastAsia="en-AU"/>
        </w:rPr>
        <w:t>immunisation</w:t>
      </w:r>
      <w:proofErr w:type="spellEnd"/>
      <w:r w:rsidRPr="00F70B8C">
        <w:rPr>
          <w:rFonts w:asciiTheme="majorHAnsi" w:hAnsiTheme="majorHAnsi"/>
          <w:sz w:val="24"/>
          <w:szCs w:val="24"/>
          <w:lang w:val="en" w:eastAsia="en-AU"/>
        </w:rPr>
        <w:t xml:space="preserve"> by forming an effective relationship with their local council and ensuring effective facilitation of their school's vaccine program.</w:t>
      </w:r>
      <w:r w:rsidR="00F70B8C">
        <w:rPr>
          <w:rFonts w:asciiTheme="majorHAnsi" w:hAnsiTheme="majorHAnsi"/>
          <w:sz w:val="24"/>
          <w:szCs w:val="24"/>
          <w:lang w:val="en" w:eastAsia="en-AU"/>
        </w:rPr>
        <w:t xml:space="preserve">  </w:t>
      </w:r>
      <w:proofErr w:type="gramStart"/>
      <w:r w:rsidRPr="00F70B8C">
        <w:rPr>
          <w:rFonts w:asciiTheme="majorHAnsi" w:hAnsiTheme="majorHAnsi"/>
          <w:sz w:val="24"/>
          <w:szCs w:val="24"/>
          <w:lang w:val="en" w:eastAsia="en-AU"/>
        </w:rPr>
        <w:t>In</w:t>
      </w:r>
      <w:proofErr w:type="gramEnd"/>
      <w:r w:rsidRPr="00F70B8C">
        <w:rPr>
          <w:rFonts w:asciiTheme="majorHAnsi" w:hAnsiTheme="majorHAnsi"/>
          <w:sz w:val="24"/>
          <w:szCs w:val="24"/>
          <w:lang w:val="en" w:eastAsia="en-AU"/>
        </w:rPr>
        <w:t xml:space="preserve"> particular, the school is encouraged to:</w:t>
      </w:r>
    </w:p>
    <w:p w:rsidR="003921BB" w:rsidRPr="00F70B8C" w:rsidRDefault="003921BB" w:rsidP="00F70B8C">
      <w:pPr>
        <w:numPr>
          <w:ilvl w:val="0"/>
          <w:numId w:val="6"/>
        </w:numPr>
        <w:spacing w:after="0" w:line="240" w:lineRule="auto"/>
        <w:ind w:left="1134" w:hanging="567"/>
        <w:jc w:val="both"/>
        <w:rPr>
          <w:rFonts w:asciiTheme="majorHAnsi" w:hAnsiTheme="majorHAnsi" w:cs="Arial"/>
          <w:sz w:val="24"/>
          <w:szCs w:val="24"/>
        </w:rPr>
      </w:pPr>
      <w:r w:rsidRPr="00F70B8C">
        <w:rPr>
          <w:rFonts w:asciiTheme="majorHAnsi" w:hAnsiTheme="majorHAnsi" w:cs="Arial"/>
          <w:sz w:val="24"/>
          <w:szCs w:val="24"/>
        </w:rPr>
        <w:t xml:space="preserve">appoint a School </w:t>
      </w:r>
      <w:proofErr w:type="spellStart"/>
      <w:r w:rsidRPr="00F70B8C">
        <w:rPr>
          <w:rFonts w:asciiTheme="majorHAnsi" w:hAnsiTheme="majorHAnsi" w:cs="Arial"/>
          <w:sz w:val="24"/>
          <w:szCs w:val="24"/>
        </w:rPr>
        <w:t>Immunisation</w:t>
      </w:r>
      <w:proofErr w:type="spellEnd"/>
      <w:r w:rsidRPr="00F70B8C">
        <w:rPr>
          <w:rFonts w:asciiTheme="majorHAnsi" w:hAnsiTheme="majorHAnsi" w:cs="Arial"/>
          <w:sz w:val="24"/>
          <w:szCs w:val="24"/>
        </w:rPr>
        <w:t xml:space="preserve"> Coordinator to manage the school's vaccine program.</w:t>
      </w:r>
    </w:p>
    <w:p w:rsidR="003921BB" w:rsidRPr="00F70B8C" w:rsidRDefault="003921BB" w:rsidP="00F70B8C">
      <w:pPr>
        <w:numPr>
          <w:ilvl w:val="0"/>
          <w:numId w:val="6"/>
        </w:numPr>
        <w:spacing w:after="0" w:line="240" w:lineRule="auto"/>
        <w:ind w:left="1134" w:hanging="567"/>
        <w:jc w:val="both"/>
        <w:rPr>
          <w:rFonts w:asciiTheme="majorHAnsi" w:hAnsiTheme="majorHAnsi" w:cs="Arial"/>
          <w:sz w:val="24"/>
          <w:szCs w:val="24"/>
        </w:rPr>
      </w:pPr>
      <w:r w:rsidRPr="00F70B8C">
        <w:rPr>
          <w:rFonts w:asciiTheme="majorHAnsi" w:hAnsiTheme="majorHAnsi" w:cs="Arial"/>
          <w:sz w:val="24"/>
          <w:szCs w:val="24"/>
        </w:rPr>
        <w:t xml:space="preserve">ensure the School </w:t>
      </w:r>
      <w:proofErr w:type="spellStart"/>
      <w:r w:rsidRPr="00F70B8C">
        <w:rPr>
          <w:rFonts w:asciiTheme="majorHAnsi" w:hAnsiTheme="majorHAnsi" w:cs="Arial"/>
          <w:sz w:val="24"/>
          <w:szCs w:val="24"/>
        </w:rPr>
        <w:t>Immunisation</w:t>
      </w:r>
      <w:proofErr w:type="spellEnd"/>
      <w:r w:rsidRPr="00F70B8C">
        <w:rPr>
          <w:rFonts w:asciiTheme="majorHAnsi" w:hAnsiTheme="majorHAnsi" w:cs="Arial"/>
          <w:sz w:val="24"/>
          <w:szCs w:val="24"/>
        </w:rPr>
        <w:t xml:space="preserve"> Coordinator liaises with the local council </w:t>
      </w:r>
      <w:proofErr w:type="spellStart"/>
      <w:r w:rsidRPr="00F70B8C">
        <w:rPr>
          <w:rFonts w:asciiTheme="majorHAnsi" w:hAnsiTheme="majorHAnsi" w:cs="Arial"/>
          <w:sz w:val="24"/>
          <w:szCs w:val="24"/>
        </w:rPr>
        <w:t>immunisation</w:t>
      </w:r>
      <w:proofErr w:type="spellEnd"/>
      <w:r w:rsidRPr="00F70B8C">
        <w:rPr>
          <w:rFonts w:asciiTheme="majorHAnsi" w:hAnsiTheme="majorHAnsi" w:cs="Arial"/>
          <w:sz w:val="24"/>
          <w:szCs w:val="24"/>
        </w:rPr>
        <w:t xml:space="preserve"> officer in the local municipality.</w:t>
      </w:r>
    </w:p>
    <w:p w:rsidR="003921BB" w:rsidRPr="00F70B8C" w:rsidRDefault="003921BB" w:rsidP="00F70B8C">
      <w:pPr>
        <w:numPr>
          <w:ilvl w:val="0"/>
          <w:numId w:val="6"/>
        </w:numPr>
        <w:spacing w:after="0" w:line="240" w:lineRule="auto"/>
        <w:ind w:left="1134" w:hanging="567"/>
        <w:jc w:val="both"/>
        <w:rPr>
          <w:rFonts w:asciiTheme="majorHAnsi" w:hAnsiTheme="majorHAnsi" w:cs="Arial"/>
          <w:sz w:val="24"/>
          <w:szCs w:val="24"/>
        </w:rPr>
      </w:pPr>
      <w:r w:rsidRPr="00F70B8C">
        <w:rPr>
          <w:rFonts w:asciiTheme="majorHAnsi" w:hAnsiTheme="majorHAnsi" w:cs="Arial"/>
          <w:sz w:val="24"/>
          <w:szCs w:val="24"/>
        </w:rPr>
        <w:t>support the distribution and collection of all vaccine consent forms and obtain completed forms from parents and guardians.</w:t>
      </w:r>
    </w:p>
    <w:p w:rsidR="003921BB" w:rsidRPr="00F70B8C" w:rsidRDefault="003921BB" w:rsidP="00F70B8C">
      <w:pPr>
        <w:numPr>
          <w:ilvl w:val="0"/>
          <w:numId w:val="6"/>
        </w:numPr>
        <w:spacing w:after="0" w:line="240" w:lineRule="auto"/>
        <w:ind w:left="1134" w:hanging="567"/>
        <w:jc w:val="both"/>
        <w:rPr>
          <w:rFonts w:asciiTheme="majorHAnsi" w:hAnsiTheme="majorHAnsi" w:cs="Arial"/>
          <w:sz w:val="24"/>
          <w:szCs w:val="24"/>
        </w:rPr>
      </w:pPr>
      <w:r w:rsidRPr="00F70B8C">
        <w:rPr>
          <w:rFonts w:asciiTheme="majorHAnsi" w:hAnsiTheme="majorHAnsi" w:cs="Arial"/>
          <w:sz w:val="24"/>
          <w:szCs w:val="24"/>
        </w:rPr>
        <w:t xml:space="preserve">make use of </w:t>
      </w:r>
      <w:proofErr w:type="spellStart"/>
      <w:r w:rsidRPr="00F70B8C">
        <w:rPr>
          <w:rFonts w:asciiTheme="majorHAnsi" w:hAnsiTheme="majorHAnsi" w:cs="Arial"/>
          <w:sz w:val="24"/>
          <w:szCs w:val="24"/>
        </w:rPr>
        <w:t>immunisation</w:t>
      </w:r>
      <w:proofErr w:type="spellEnd"/>
      <w:r w:rsidRPr="00F70B8C">
        <w:rPr>
          <w:rFonts w:asciiTheme="majorHAnsi" w:hAnsiTheme="majorHAnsi" w:cs="Arial"/>
          <w:sz w:val="24"/>
          <w:szCs w:val="24"/>
        </w:rPr>
        <w:t xml:space="preserve"> resources available from the Department of Health and Human Services (Immune Hero) and your local council to assist with </w:t>
      </w:r>
      <w:r w:rsidRPr="00F70B8C">
        <w:rPr>
          <w:rFonts w:asciiTheme="majorHAnsi" w:hAnsiTheme="majorHAnsi" w:cs="Arial"/>
          <w:sz w:val="24"/>
          <w:szCs w:val="24"/>
        </w:rPr>
        <w:lastRenderedPageBreak/>
        <w:t>communication to students, parents, teachers and the wider school community about school-aged vaccines.</w:t>
      </w:r>
    </w:p>
    <w:p w:rsidR="003921BB" w:rsidRPr="00F70B8C" w:rsidRDefault="003921BB" w:rsidP="00F70B8C">
      <w:pPr>
        <w:numPr>
          <w:ilvl w:val="0"/>
          <w:numId w:val="6"/>
        </w:numPr>
        <w:spacing w:after="0" w:line="240" w:lineRule="auto"/>
        <w:ind w:left="1134" w:hanging="567"/>
        <w:jc w:val="both"/>
        <w:rPr>
          <w:rFonts w:asciiTheme="majorHAnsi" w:hAnsiTheme="majorHAnsi" w:cs="Arial"/>
          <w:sz w:val="24"/>
          <w:szCs w:val="24"/>
        </w:rPr>
      </w:pPr>
      <w:r w:rsidRPr="00F70B8C">
        <w:rPr>
          <w:rFonts w:asciiTheme="majorHAnsi" w:hAnsiTheme="majorHAnsi" w:cs="Arial"/>
          <w:sz w:val="24"/>
          <w:szCs w:val="24"/>
        </w:rPr>
        <w:t>ensure appropriate resources and environments are available for the program to run smoothly.</w:t>
      </w:r>
    </w:p>
    <w:p w:rsidR="003921BB" w:rsidRPr="00F70B8C" w:rsidRDefault="003921BB" w:rsidP="003921BB">
      <w:pPr>
        <w:ind w:left="284"/>
        <w:jc w:val="both"/>
        <w:rPr>
          <w:rFonts w:asciiTheme="majorHAnsi" w:hAnsiTheme="majorHAnsi"/>
          <w:sz w:val="24"/>
          <w:szCs w:val="24"/>
          <w:lang w:val="en" w:eastAsia="en-AU"/>
        </w:rPr>
      </w:pPr>
      <w:r w:rsidRPr="00F70B8C">
        <w:rPr>
          <w:rFonts w:asciiTheme="majorHAnsi" w:hAnsiTheme="majorHAnsi"/>
          <w:sz w:val="24"/>
          <w:szCs w:val="24"/>
          <w:lang w:val="en" w:eastAsia="en-AU"/>
        </w:rPr>
        <w:t xml:space="preserve">For information on the current schedule of vaccines delivered as part of the secondary school vaccine program, the school will refer to the: </w:t>
      </w:r>
      <w:hyperlink r:id="rId12" w:tgtFrame="_blank" w:history="1">
        <w:r w:rsidRPr="00F70B8C">
          <w:rPr>
            <w:rFonts w:asciiTheme="majorHAnsi" w:hAnsiTheme="majorHAnsi"/>
            <w:color w:val="3757A4"/>
            <w:sz w:val="24"/>
            <w:szCs w:val="24"/>
            <w:u w:val="single"/>
            <w:lang w:val="en" w:eastAsia="en-AU"/>
          </w:rPr>
          <w:t xml:space="preserve">National </w:t>
        </w:r>
        <w:proofErr w:type="spellStart"/>
        <w:r w:rsidRPr="00F70B8C">
          <w:rPr>
            <w:rFonts w:asciiTheme="majorHAnsi" w:hAnsiTheme="majorHAnsi"/>
            <w:color w:val="3757A4"/>
            <w:sz w:val="24"/>
            <w:szCs w:val="24"/>
            <w:u w:val="single"/>
            <w:lang w:val="en" w:eastAsia="en-AU"/>
          </w:rPr>
          <w:t>Immunisation</w:t>
        </w:r>
        <w:proofErr w:type="spellEnd"/>
        <w:r w:rsidRPr="00F70B8C">
          <w:rPr>
            <w:rFonts w:asciiTheme="majorHAnsi" w:hAnsiTheme="majorHAnsi"/>
            <w:color w:val="3757A4"/>
            <w:sz w:val="24"/>
            <w:szCs w:val="24"/>
            <w:u w:val="single"/>
            <w:lang w:val="en" w:eastAsia="en-AU"/>
          </w:rPr>
          <w:t xml:space="preserve"> Program Schedule</w:t>
        </w:r>
      </w:hyperlink>
    </w:p>
    <w:p w:rsidR="00A66E40" w:rsidRPr="00F70B8C" w:rsidRDefault="00A66E40" w:rsidP="00F70B8C">
      <w:pPr>
        <w:numPr>
          <w:ilvl w:val="0"/>
          <w:numId w:val="4"/>
        </w:numPr>
        <w:spacing w:after="0" w:line="240" w:lineRule="auto"/>
        <w:ind w:left="993" w:right="-45" w:hanging="567"/>
        <w:jc w:val="both"/>
        <w:rPr>
          <w:rFonts w:asciiTheme="majorHAnsi" w:hAnsiTheme="majorHAnsi"/>
          <w:sz w:val="24"/>
          <w:szCs w:val="24"/>
          <w:lang w:eastAsia="en-AU"/>
        </w:rPr>
      </w:pPr>
      <w:r w:rsidRPr="00F70B8C">
        <w:rPr>
          <w:rFonts w:asciiTheme="majorHAnsi" w:hAnsiTheme="majorHAnsi"/>
          <w:sz w:val="24"/>
          <w:szCs w:val="24"/>
          <w:lang w:eastAsia="en-AU"/>
        </w:rPr>
        <w:t xml:space="preserve">The </w:t>
      </w:r>
      <w:r w:rsidR="00D87AC0" w:rsidRPr="00F70B8C">
        <w:rPr>
          <w:rFonts w:asciiTheme="majorHAnsi" w:hAnsiTheme="majorHAnsi"/>
          <w:sz w:val="24"/>
          <w:szCs w:val="24"/>
          <w:lang w:eastAsia="en-AU"/>
        </w:rPr>
        <w:t>P-6 Campus Principal</w:t>
      </w:r>
      <w:r w:rsidRPr="00F70B8C">
        <w:rPr>
          <w:rFonts w:asciiTheme="majorHAnsi" w:hAnsiTheme="majorHAnsi"/>
          <w:sz w:val="24"/>
          <w:szCs w:val="24"/>
          <w:lang w:eastAsia="en-AU"/>
        </w:rPr>
        <w:t xml:space="preserve"> will request the parent/carer to complete a head lice consent form. Please refer to the </w:t>
      </w:r>
      <w:r w:rsidRPr="00F70B8C">
        <w:rPr>
          <w:rFonts w:asciiTheme="majorHAnsi" w:hAnsiTheme="majorHAnsi" w:cs="Arial"/>
          <w:i/>
          <w:sz w:val="24"/>
          <w:szCs w:val="24"/>
        </w:rPr>
        <w:t>Head Lice Management Policy.</w:t>
      </w:r>
    </w:p>
    <w:p w:rsidR="00D87AC0" w:rsidRPr="00F70B8C" w:rsidRDefault="00D87AC0" w:rsidP="00F70B8C">
      <w:pPr>
        <w:pStyle w:val="ListParagraph"/>
        <w:numPr>
          <w:ilvl w:val="0"/>
          <w:numId w:val="4"/>
        </w:numPr>
        <w:ind w:left="993" w:hanging="567"/>
        <w:jc w:val="both"/>
        <w:rPr>
          <w:rFonts w:asciiTheme="majorHAnsi" w:hAnsiTheme="majorHAnsi" w:cs="Arial"/>
        </w:rPr>
      </w:pPr>
      <w:r w:rsidRPr="00F70B8C">
        <w:rPr>
          <w:rFonts w:asciiTheme="majorHAnsi" w:hAnsiTheme="majorHAnsi" w:cs="Arial"/>
        </w:rPr>
        <w:t xml:space="preserve">Students with Disabilities and Impairments will be enrolled along with all other eligible students.  Concerns relating to resourcing levels is </w:t>
      </w:r>
      <w:proofErr w:type="gramStart"/>
      <w:r w:rsidRPr="00F70B8C">
        <w:rPr>
          <w:rFonts w:asciiTheme="majorHAnsi" w:hAnsiTheme="majorHAnsi" w:cs="Arial"/>
        </w:rPr>
        <w:t>in itself insufficient</w:t>
      </w:r>
      <w:proofErr w:type="gramEnd"/>
      <w:r w:rsidRPr="00F70B8C">
        <w:rPr>
          <w:rFonts w:asciiTheme="majorHAnsi" w:hAnsiTheme="majorHAnsi" w:cs="Arial"/>
        </w:rPr>
        <w:t xml:space="preserve"> grounds for delayed admission.  </w:t>
      </w:r>
    </w:p>
    <w:p w:rsidR="00A66E40" w:rsidRPr="00F70B8C" w:rsidRDefault="00A66E40" w:rsidP="00F70B8C">
      <w:pPr>
        <w:pStyle w:val="NoSpacing"/>
        <w:numPr>
          <w:ilvl w:val="0"/>
          <w:numId w:val="4"/>
        </w:numPr>
        <w:ind w:left="993" w:right="-45" w:hanging="567"/>
        <w:jc w:val="both"/>
        <w:rPr>
          <w:rFonts w:asciiTheme="majorHAnsi" w:hAnsiTheme="majorHAnsi"/>
          <w:sz w:val="24"/>
          <w:szCs w:val="24"/>
        </w:rPr>
      </w:pPr>
      <w:r w:rsidRPr="00F70B8C">
        <w:rPr>
          <w:rFonts w:asciiTheme="majorHAnsi" w:hAnsiTheme="majorHAnsi" w:cs="Arial"/>
          <w:sz w:val="24"/>
          <w:szCs w:val="24"/>
        </w:rPr>
        <w:t>If the school enrols international children CASES21 will be updated to confirm the child's commencement of study within five working days of commencement. Any changes to the child's enrolment should also be recorded in a timely manner. This will ensure an accurate disbursement of funds to the relevant school.</w:t>
      </w:r>
    </w:p>
    <w:p w:rsidR="003921BB" w:rsidRPr="00F70B8C" w:rsidRDefault="003921BB" w:rsidP="00F70B8C">
      <w:pPr>
        <w:pStyle w:val="NoSpacing"/>
        <w:numPr>
          <w:ilvl w:val="0"/>
          <w:numId w:val="4"/>
        </w:numPr>
        <w:spacing w:afterAutospacing="1"/>
        <w:ind w:left="993" w:right="-45" w:hanging="567"/>
        <w:jc w:val="both"/>
        <w:rPr>
          <w:rFonts w:asciiTheme="majorHAnsi" w:hAnsiTheme="majorHAnsi"/>
          <w:sz w:val="24"/>
          <w:szCs w:val="24"/>
        </w:rPr>
      </w:pPr>
      <w:r w:rsidRPr="00F70B8C">
        <w:rPr>
          <w:rFonts w:asciiTheme="majorHAnsi" w:hAnsiTheme="majorHAnsi"/>
          <w:sz w:val="24"/>
          <w:szCs w:val="24"/>
        </w:rPr>
        <w:t xml:space="preserve">Records are disposed of in accordance with the General Disposal Schedule. See: </w:t>
      </w:r>
      <w:hyperlink r:id="rId13" w:history="1">
        <w:r w:rsidRPr="00F70B8C">
          <w:rPr>
            <w:rStyle w:val="Hyperlink"/>
            <w:rFonts w:asciiTheme="majorHAnsi" w:hAnsiTheme="majorHAnsi" w:cs="Arial"/>
            <w:sz w:val="24"/>
            <w:szCs w:val="24"/>
          </w:rPr>
          <w:t>Archives and Records Management</w:t>
        </w:r>
      </w:hyperlink>
    </w:p>
    <w:p w:rsidR="00A66E40" w:rsidRPr="00F70B8C" w:rsidRDefault="00A66E40" w:rsidP="00F70B8C">
      <w:pPr>
        <w:pStyle w:val="ListParagraph"/>
        <w:numPr>
          <w:ilvl w:val="0"/>
          <w:numId w:val="4"/>
        </w:numPr>
        <w:ind w:left="993" w:right="-45" w:hanging="567"/>
        <w:jc w:val="both"/>
        <w:rPr>
          <w:rFonts w:asciiTheme="majorHAnsi" w:hAnsiTheme="majorHAnsi"/>
          <w:i/>
        </w:rPr>
      </w:pPr>
      <w:r w:rsidRPr="00F70B8C">
        <w:rPr>
          <w:rFonts w:asciiTheme="majorHAnsi" w:hAnsiTheme="majorHAnsi" w:cs="Arial"/>
          <w:lang w:val="en-US"/>
        </w:rPr>
        <w:t xml:space="preserve">Please refer also the school’s </w:t>
      </w:r>
      <w:r w:rsidRPr="00F70B8C">
        <w:rPr>
          <w:rFonts w:asciiTheme="majorHAnsi" w:hAnsiTheme="majorHAnsi" w:cs="Arial"/>
          <w:i/>
          <w:lang w:val="en-US"/>
        </w:rPr>
        <w:t xml:space="preserve">Admission Policy, </w:t>
      </w:r>
      <w:proofErr w:type="spellStart"/>
      <w:r w:rsidRPr="00F70B8C">
        <w:rPr>
          <w:rFonts w:asciiTheme="majorHAnsi" w:hAnsiTheme="majorHAnsi" w:cs="Arial"/>
          <w:i/>
          <w:lang w:val="en-US"/>
        </w:rPr>
        <w:t>Immunisation</w:t>
      </w:r>
      <w:proofErr w:type="spellEnd"/>
      <w:r w:rsidRPr="00F70B8C">
        <w:rPr>
          <w:rFonts w:asciiTheme="majorHAnsi" w:hAnsiTheme="majorHAnsi" w:cs="Arial"/>
          <w:i/>
          <w:lang w:val="en-US"/>
        </w:rPr>
        <w:t>/Exclusions (Infectious Diseases) Policy, Information Privacy Policy, Transfers Policy, International Student Program Policy,</w:t>
      </w:r>
      <w:r w:rsidRPr="00F70B8C">
        <w:rPr>
          <w:rFonts w:asciiTheme="majorHAnsi" w:hAnsiTheme="majorHAnsi" w:cs="Arial"/>
          <w:lang w:val="en-US"/>
        </w:rPr>
        <w:t xml:space="preserve"> the </w:t>
      </w:r>
      <w:r w:rsidRPr="00F70B8C">
        <w:rPr>
          <w:rFonts w:asciiTheme="majorHAnsi" w:hAnsiTheme="majorHAnsi" w:cs="Arial"/>
          <w:i/>
          <w:lang w:val="en-US"/>
        </w:rPr>
        <w:t>Health Care Needs Policy</w:t>
      </w:r>
      <w:r w:rsidRPr="00F70B8C">
        <w:rPr>
          <w:rFonts w:asciiTheme="majorHAnsi" w:hAnsiTheme="majorHAnsi" w:cs="Arial"/>
          <w:lang w:val="en-US"/>
        </w:rPr>
        <w:t xml:space="preserve"> and the </w:t>
      </w:r>
      <w:r w:rsidRPr="00F70B8C">
        <w:rPr>
          <w:rFonts w:asciiTheme="majorHAnsi" w:hAnsiTheme="majorHAnsi" w:cs="Arial"/>
          <w:i/>
          <w:lang w:val="en-US"/>
        </w:rPr>
        <w:t>Archives &amp; Records Management Policy.</w:t>
      </w:r>
    </w:p>
    <w:p w:rsidR="00A66E40" w:rsidRPr="00F70B8C" w:rsidRDefault="00A66E40" w:rsidP="00A66E40">
      <w:pPr>
        <w:ind w:left="567" w:right="-45" w:hanging="567"/>
        <w:jc w:val="both"/>
        <w:rPr>
          <w:rFonts w:asciiTheme="majorHAnsi" w:hAnsiTheme="majorHAnsi"/>
          <w:b/>
          <w:sz w:val="24"/>
          <w:szCs w:val="24"/>
          <w:u w:val="single"/>
        </w:rPr>
      </w:pPr>
    </w:p>
    <w:p w:rsidR="00F70B8C" w:rsidRDefault="00A66E40" w:rsidP="00F70B8C">
      <w:pPr>
        <w:pStyle w:val="NoSpacing"/>
        <w:jc w:val="both"/>
        <w:rPr>
          <w:rStyle w:val="SubtleReference"/>
        </w:rPr>
      </w:pPr>
      <w:r w:rsidRPr="00F70B8C">
        <w:rPr>
          <w:rStyle w:val="SubtleReference"/>
        </w:rPr>
        <w:t>Evaluation</w:t>
      </w:r>
    </w:p>
    <w:p w:rsidR="00A66E40" w:rsidRPr="00F70B8C" w:rsidRDefault="00A66E40" w:rsidP="00F70B8C">
      <w:pPr>
        <w:pStyle w:val="NoSpacing"/>
        <w:jc w:val="both"/>
        <w:rPr>
          <w:rFonts w:asciiTheme="majorHAnsi" w:hAnsiTheme="majorHAnsi"/>
          <w:smallCaps/>
          <w:sz w:val="24"/>
          <w:u w:val="single"/>
        </w:rPr>
      </w:pPr>
      <w:r w:rsidRPr="00F70B8C">
        <w:rPr>
          <w:rFonts w:asciiTheme="majorHAnsi" w:hAnsiTheme="majorHAnsi"/>
          <w:sz w:val="24"/>
          <w:szCs w:val="24"/>
        </w:rPr>
        <w:t>This policy will be reviewed as part of the school’s</w:t>
      </w:r>
      <w:r w:rsidR="00F70B8C">
        <w:rPr>
          <w:rFonts w:asciiTheme="majorHAnsi" w:hAnsiTheme="majorHAnsi"/>
          <w:sz w:val="24"/>
          <w:szCs w:val="24"/>
        </w:rPr>
        <w:t xml:space="preserve"> three-year</w:t>
      </w:r>
      <w:r w:rsidRPr="00F70B8C">
        <w:rPr>
          <w:rFonts w:asciiTheme="majorHAnsi" w:hAnsiTheme="majorHAnsi"/>
          <w:sz w:val="24"/>
          <w:szCs w:val="24"/>
        </w:rPr>
        <w:t xml:space="preserve"> review cycle or if guidelines change (latest DET update</w:t>
      </w:r>
      <w:r w:rsidR="003260E8" w:rsidRPr="00F70B8C">
        <w:rPr>
          <w:rFonts w:asciiTheme="majorHAnsi" w:hAnsiTheme="majorHAnsi"/>
          <w:sz w:val="24"/>
          <w:szCs w:val="24"/>
        </w:rPr>
        <w:t>s</w:t>
      </w:r>
      <w:r w:rsidRPr="00F70B8C">
        <w:rPr>
          <w:rFonts w:asciiTheme="majorHAnsi" w:hAnsiTheme="majorHAnsi"/>
          <w:sz w:val="24"/>
          <w:szCs w:val="24"/>
        </w:rPr>
        <w:t xml:space="preserve"> late </w:t>
      </w:r>
      <w:r w:rsidR="003921BB" w:rsidRPr="00F70B8C">
        <w:rPr>
          <w:rFonts w:asciiTheme="majorHAnsi" w:hAnsiTheme="majorHAnsi"/>
          <w:sz w:val="24"/>
          <w:szCs w:val="24"/>
        </w:rPr>
        <w:t xml:space="preserve">April </w:t>
      </w:r>
      <w:r w:rsidR="003260E8" w:rsidRPr="00F70B8C">
        <w:rPr>
          <w:rFonts w:asciiTheme="majorHAnsi" w:hAnsiTheme="majorHAnsi"/>
          <w:sz w:val="24"/>
          <w:szCs w:val="24"/>
        </w:rPr>
        <w:t xml:space="preserve">&amp; early May </w:t>
      </w:r>
      <w:r w:rsidR="003921BB" w:rsidRPr="00F70B8C">
        <w:rPr>
          <w:rFonts w:asciiTheme="majorHAnsi" w:hAnsiTheme="majorHAnsi"/>
          <w:sz w:val="24"/>
          <w:szCs w:val="24"/>
        </w:rPr>
        <w:t>2017</w:t>
      </w:r>
      <w:r w:rsidRPr="00F70B8C">
        <w:rPr>
          <w:rFonts w:asciiTheme="majorHAnsi" w:hAnsiTheme="majorHAnsi"/>
          <w:sz w:val="24"/>
          <w:szCs w:val="24"/>
        </w:rPr>
        <w:t>).</w:t>
      </w:r>
    </w:p>
    <w:p w:rsidR="00A66E40" w:rsidRPr="00F70B8C" w:rsidRDefault="00A66E40" w:rsidP="00F70B8C">
      <w:pPr>
        <w:tabs>
          <w:tab w:val="left" w:pos="709"/>
        </w:tabs>
        <w:ind w:right="-45"/>
        <w:rPr>
          <w:rFonts w:asciiTheme="majorHAnsi" w:hAnsiTheme="majorHAnsi"/>
          <w:sz w:val="24"/>
          <w:szCs w:val="24"/>
        </w:rPr>
      </w:pPr>
    </w:p>
    <w:p w:rsidR="00F70B8C" w:rsidRPr="00F70B8C" w:rsidRDefault="00F70B8C" w:rsidP="00F70B8C">
      <w:pPr>
        <w:pStyle w:val="NoSpacing"/>
        <w:jc w:val="both"/>
        <w:rPr>
          <w:rStyle w:val="SubtleReference"/>
        </w:rPr>
      </w:pPr>
      <w:r>
        <w:rPr>
          <w:rStyle w:val="SubtleReference"/>
        </w:rPr>
        <w:t>Ratification</w:t>
      </w:r>
    </w:p>
    <w:p w:rsidR="00A66E40" w:rsidRPr="00F70B8C" w:rsidRDefault="00A66E40" w:rsidP="00A66E40">
      <w:pPr>
        <w:ind w:right="-45"/>
        <w:rPr>
          <w:rFonts w:asciiTheme="majorHAnsi" w:hAnsiTheme="majorHAnsi"/>
          <w:sz w:val="24"/>
          <w:szCs w:val="24"/>
        </w:rPr>
      </w:pPr>
      <w:r w:rsidRPr="00F70B8C">
        <w:rPr>
          <w:rFonts w:asciiTheme="majorHAnsi" w:hAnsiTheme="majorHAnsi"/>
          <w:sz w:val="24"/>
          <w:szCs w:val="24"/>
        </w:rPr>
        <w:t xml:space="preserve">This update was ratified by the College Council on </w:t>
      </w:r>
      <w:r w:rsidR="00F70B8C">
        <w:rPr>
          <w:rFonts w:asciiTheme="majorHAnsi" w:hAnsiTheme="majorHAnsi"/>
          <w:sz w:val="24"/>
          <w:szCs w:val="24"/>
        </w:rPr>
        <w:t>15</w:t>
      </w:r>
      <w:r w:rsidR="00F70B8C" w:rsidRPr="00F70B8C">
        <w:rPr>
          <w:rFonts w:asciiTheme="majorHAnsi" w:hAnsiTheme="majorHAnsi"/>
          <w:sz w:val="24"/>
          <w:szCs w:val="24"/>
          <w:vertAlign w:val="superscript"/>
        </w:rPr>
        <w:t>th</w:t>
      </w:r>
      <w:r w:rsidR="00F70B8C">
        <w:rPr>
          <w:rFonts w:asciiTheme="majorHAnsi" w:hAnsiTheme="majorHAnsi"/>
          <w:sz w:val="24"/>
          <w:szCs w:val="24"/>
        </w:rPr>
        <w:t xml:space="preserve"> </w:t>
      </w:r>
      <w:proofErr w:type="gramStart"/>
      <w:r w:rsidR="00F70B8C">
        <w:rPr>
          <w:rFonts w:asciiTheme="majorHAnsi" w:hAnsiTheme="majorHAnsi"/>
          <w:sz w:val="24"/>
          <w:szCs w:val="24"/>
        </w:rPr>
        <w:t>February,</w:t>
      </w:r>
      <w:proofErr w:type="gramEnd"/>
      <w:r w:rsidR="00F70B8C">
        <w:rPr>
          <w:rFonts w:asciiTheme="majorHAnsi" w:hAnsiTheme="majorHAnsi"/>
          <w:sz w:val="24"/>
          <w:szCs w:val="24"/>
        </w:rPr>
        <w:t xml:space="preserve"> 2018.</w:t>
      </w:r>
    </w:p>
    <w:p w:rsidR="00A66E40" w:rsidRPr="00F70B8C" w:rsidRDefault="00A66E40" w:rsidP="00A66E40">
      <w:pPr>
        <w:ind w:right="-45"/>
        <w:jc w:val="both"/>
        <w:rPr>
          <w:rFonts w:ascii="Calibri" w:hAnsi="Calibri"/>
          <w:sz w:val="21"/>
          <w:szCs w:val="21"/>
        </w:rPr>
      </w:pPr>
    </w:p>
    <w:p w:rsidR="00A66E40" w:rsidRPr="00F70B8C" w:rsidRDefault="00A66E40" w:rsidP="00F70B8C">
      <w:pPr>
        <w:pStyle w:val="NoSpacing"/>
        <w:jc w:val="both"/>
        <w:rPr>
          <w:rStyle w:val="SubtleReference"/>
        </w:rPr>
      </w:pPr>
      <w:r w:rsidRPr="00F70B8C">
        <w:rPr>
          <w:rStyle w:val="SubtleReference"/>
        </w:rPr>
        <w:t>Reference</w:t>
      </w:r>
    </w:p>
    <w:p w:rsidR="00A66E40" w:rsidRPr="00F70B8C" w:rsidRDefault="00240382" w:rsidP="00D87AC0">
      <w:pPr>
        <w:ind w:right="-45"/>
        <w:rPr>
          <w:rFonts w:asciiTheme="majorHAnsi" w:hAnsiTheme="majorHAnsi"/>
          <w:sz w:val="24"/>
          <w:szCs w:val="24"/>
        </w:rPr>
      </w:pPr>
      <w:hyperlink r:id="rId14" w:history="1">
        <w:r w:rsidR="00A66E40" w:rsidRPr="00F70B8C">
          <w:rPr>
            <w:rFonts w:asciiTheme="majorHAnsi" w:hAnsiTheme="majorHAnsi"/>
            <w:sz w:val="24"/>
            <w:szCs w:val="24"/>
          </w:rPr>
          <w:t>www.education.vic.gov.au/school/principals/spag/participation/pages/enrolment.aspx</w:t>
        </w:r>
      </w:hyperlink>
    </w:p>
    <w:p w:rsidR="00F70B8C" w:rsidRDefault="00F70B8C">
      <w:pPr>
        <w:rPr>
          <w:rFonts w:ascii="Calibri" w:hAnsi="Calibri"/>
          <w:b/>
          <w:u w:val="single"/>
        </w:rPr>
      </w:pPr>
      <w:r>
        <w:rPr>
          <w:rFonts w:ascii="Calibri" w:hAnsi="Calibri"/>
          <w:b/>
          <w:u w:val="single"/>
        </w:rPr>
        <w:br w:type="page"/>
      </w:r>
    </w:p>
    <w:p w:rsidR="00D87AC0" w:rsidRPr="00F70B8C" w:rsidRDefault="00D87AC0" w:rsidP="00D87AC0">
      <w:pPr>
        <w:pStyle w:val="NoSpacing"/>
        <w:jc w:val="both"/>
        <w:rPr>
          <w:rFonts w:ascii="Calibri" w:hAnsi="Calibri"/>
          <w:b/>
          <w:u w:val="single"/>
        </w:rPr>
      </w:pPr>
      <w:r w:rsidRPr="00F70B8C">
        <w:rPr>
          <w:rFonts w:ascii="Calibri" w:hAnsi="Calibri"/>
          <w:b/>
          <w:u w:val="single"/>
        </w:rPr>
        <w:lastRenderedPageBreak/>
        <w:t>College Specific Procedures</w:t>
      </w:r>
    </w:p>
    <w:p w:rsidR="00D87AC0" w:rsidRPr="00F70B8C" w:rsidRDefault="00D87AC0" w:rsidP="00D87AC0">
      <w:pPr>
        <w:pStyle w:val="NoSpacing"/>
        <w:jc w:val="both"/>
        <w:rPr>
          <w:rFonts w:asciiTheme="majorHAnsi" w:hAnsiTheme="majorHAnsi" w:cs="Arial"/>
          <w:sz w:val="24"/>
        </w:rPr>
      </w:pPr>
      <w:r w:rsidRPr="00F70B8C">
        <w:rPr>
          <w:rFonts w:asciiTheme="majorHAnsi" w:hAnsiTheme="majorHAnsi" w:cs="Arial"/>
          <w:sz w:val="24"/>
        </w:rPr>
        <w:t>All enrolments will require the completion of the DE</w:t>
      </w:r>
      <w:r w:rsidR="000854C9">
        <w:rPr>
          <w:rFonts w:asciiTheme="majorHAnsi" w:hAnsiTheme="majorHAnsi" w:cs="Arial"/>
          <w:sz w:val="24"/>
        </w:rPr>
        <w:t>T</w:t>
      </w:r>
      <w:bookmarkStart w:id="0" w:name="_GoBack"/>
      <w:bookmarkEnd w:id="0"/>
      <w:r w:rsidRPr="00F70B8C">
        <w:rPr>
          <w:rFonts w:asciiTheme="majorHAnsi" w:hAnsiTheme="majorHAnsi" w:cs="Arial"/>
          <w:sz w:val="24"/>
        </w:rPr>
        <w:t xml:space="preserve"> ‘Confidential Student Information Enrolment Form’, with details entered immediately on CASES 21.</w:t>
      </w:r>
    </w:p>
    <w:p w:rsidR="00D87AC0" w:rsidRPr="00F70B8C" w:rsidRDefault="00D87AC0" w:rsidP="00D87AC0">
      <w:pPr>
        <w:pStyle w:val="NoSpacing"/>
        <w:jc w:val="both"/>
        <w:rPr>
          <w:rFonts w:asciiTheme="majorHAnsi" w:hAnsiTheme="majorHAnsi" w:cs="Arial"/>
          <w:sz w:val="24"/>
        </w:rPr>
      </w:pPr>
    </w:p>
    <w:p w:rsidR="00D87AC0" w:rsidRPr="00F70B8C" w:rsidRDefault="00D87AC0" w:rsidP="00D87AC0">
      <w:pPr>
        <w:pStyle w:val="NoSpacing"/>
        <w:jc w:val="both"/>
        <w:rPr>
          <w:rFonts w:asciiTheme="majorHAnsi" w:hAnsiTheme="majorHAnsi" w:cs="Arial"/>
          <w:sz w:val="24"/>
        </w:rPr>
      </w:pPr>
      <w:r w:rsidRPr="00F70B8C">
        <w:rPr>
          <w:rFonts w:asciiTheme="majorHAnsi" w:hAnsiTheme="majorHAnsi" w:cs="Arial"/>
          <w:sz w:val="24"/>
        </w:rPr>
        <w:t>The Year Level Coordinator or Campus Principal will explain each aspect of the Charles La Trobe Enrolment Package to new students and parents/carers including the Student Engagement Policy, Student Code of Conduct and bullying and harassment policy and practices.</w:t>
      </w:r>
    </w:p>
    <w:p w:rsidR="00D87AC0" w:rsidRPr="00F70B8C" w:rsidRDefault="00D87AC0" w:rsidP="00D87AC0">
      <w:pPr>
        <w:pStyle w:val="NoSpacing"/>
        <w:jc w:val="both"/>
        <w:rPr>
          <w:rFonts w:asciiTheme="majorHAnsi" w:hAnsiTheme="majorHAnsi" w:cs="Arial"/>
          <w:sz w:val="24"/>
        </w:rPr>
      </w:pPr>
    </w:p>
    <w:p w:rsidR="00D87AC0" w:rsidRPr="00F70B8C" w:rsidRDefault="00D87AC0" w:rsidP="00D87AC0">
      <w:pPr>
        <w:pStyle w:val="NoSpacing"/>
        <w:jc w:val="both"/>
        <w:rPr>
          <w:rFonts w:asciiTheme="majorHAnsi" w:hAnsiTheme="majorHAnsi" w:cs="Arial"/>
          <w:sz w:val="24"/>
        </w:rPr>
      </w:pPr>
      <w:r w:rsidRPr="00F70B8C">
        <w:rPr>
          <w:rFonts w:asciiTheme="majorHAnsi" w:hAnsiTheme="majorHAnsi" w:cs="Arial"/>
          <w:sz w:val="24"/>
        </w:rPr>
        <w:t>The Year Level Team Leader or Campus Principal will contact the Principals of previous schools of all students seeking transfers to discuss the circumstances of the transfer, to seek a transfer note and to discuss any academic or behavioural matters.  The Principal has the authority to defer admission in order that enquiries of the previous school are carried out in the interests of the student.</w:t>
      </w:r>
    </w:p>
    <w:p w:rsidR="00D87AC0" w:rsidRPr="00F70B8C" w:rsidRDefault="00D87AC0" w:rsidP="00D87AC0">
      <w:pPr>
        <w:pStyle w:val="NoSpacing"/>
        <w:jc w:val="both"/>
        <w:rPr>
          <w:rFonts w:asciiTheme="majorHAnsi" w:hAnsiTheme="majorHAnsi" w:cs="Arial"/>
          <w:sz w:val="24"/>
        </w:rPr>
      </w:pPr>
    </w:p>
    <w:p w:rsidR="00D87AC0" w:rsidRPr="00F70B8C" w:rsidRDefault="00D87AC0" w:rsidP="00D87AC0">
      <w:pPr>
        <w:pStyle w:val="NoSpacing"/>
        <w:jc w:val="both"/>
        <w:rPr>
          <w:rFonts w:asciiTheme="majorHAnsi" w:hAnsiTheme="majorHAnsi" w:cs="Arial"/>
          <w:sz w:val="24"/>
        </w:rPr>
      </w:pPr>
      <w:r w:rsidRPr="00F70B8C">
        <w:rPr>
          <w:rFonts w:asciiTheme="majorHAnsi" w:hAnsiTheme="majorHAnsi" w:cs="Arial"/>
          <w:sz w:val="24"/>
        </w:rPr>
        <w:t xml:space="preserve">The Year Level Leader will consult with the </w:t>
      </w:r>
      <w:r w:rsidR="006B301C">
        <w:rPr>
          <w:rFonts w:asciiTheme="majorHAnsi" w:hAnsiTheme="majorHAnsi" w:cs="Arial"/>
          <w:sz w:val="24"/>
        </w:rPr>
        <w:t>Sub-</w:t>
      </w:r>
      <w:proofErr w:type="gramStart"/>
      <w:r w:rsidR="006B301C">
        <w:rPr>
          <w:rFonts w:asciiTheme="majorHAnsi" w:hAnsiTheme="majorHAnsi" w:cs="Arial"/>
          <w:sz w:val="24"/>
        </w:rPr>
        <w:t>school</w:t>
      </w:r>
      <w:proofErr w:type="gramEnd"/>
      <w:r w:rsidRPr="00F70B8C">
        <w:rPr>
          <w:rFonts w:asciiTheme="majorHAnsi" w:hAnsiTheme="majorHAnsi" w:cs="Arial"/>
          <w:sz w:val="24"/>
        </w:rPr>
        <w:t xml:space="preserve"> Principal regarding enrolments.</w:t>
      </w:r>
    </w:p>
    <w:p w:rsidR="00D87AC0" w:rsidRPr="00F70B8C" w:rsidRDefault="00D87AC0" w:rsidP="00D87AC0">
      <w:pPr>
        <w:pStyle w:val="NoSpacing"/>
        <w:jc w:val="both"/>
        <w:rPr>
          <w:rFonts w:asciiTheme="majorHAnsi" w:hAnsiTheme="majorHAnsi" w:cs="Arial"/>
          <w:sz w:val="24"/>
        </w:rPr>
      </w:pPr>
    </w:p>
    <w:p w:rsidR="00B22DAF" w:rsidRPr="006B301C" w:rsidRDefault="00D87AC0" w:rsidP="006B301C">
      <w:pPr>
        <w:pStyle w:val="NoSpacing"/>
        <w:jc w:val="both"/>
        <w:rPr>
          <w:rFonts w:asciiTheme="majorHAnsi" w:hAnsiTheme="majorHAnsi" w:cs="Arial"/>
          <w:sz w:val="24"/>
        </w:rPr>
      </w:pPr>
      <w:r w:rsidRPr="00F70B8C">
        <w:rPr>
          <w:rFonts w:asciiTheme="majorHAnsi" w:hAnsiTheme="majorHAnsi" w:cs="Arial"/>
          <w:sz w:val="24"/>
        </w:rPr>
        <w:t>Students will be allocated to classes according to a combination of class size and student need.</w:t>
      </w:r>
    </w:p>
    <w:sectPr w:rsidR="00B22DAF" w:rsidRPr="006B301C" w:rsidSect="00C3108E">
      <w:headerReference w:type="default" r:id="rId15"/>
      <w:footerReference w:type="default" r:id="rId16"/>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382" w:rsidRDefault="00240382" w:rsidP="00434B92">
      <w:pPr>
        <w:spacing w:after="0" w:line="240" w:lineRule="auto"/>
      </w:pPr>
      <w:r>
        <w:separator/>
      </w:r>
    </w:p>
  </w:endnote>
  <w:endnote w:type="continuationSeparator" w:id="0">
    <w:p w:rsidR="00240382" w:rsidRDefault="00240382" w:rsidP="0043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347383"/>
      <w:docPartObj>
        <w:docPartGallery w:val="Page Numbers (Bottom of Page)"/>
        <w:docPartUnique/>
      </w:docPartObj>
    </w:sdtPr>
    <w:sdtEndPr>
      <w:rPr>
        <w:noProof/>
      </w:rPr>
    </w:sdtEndPr>
    <w:sdtContent>
      <w:p w:rsidR="00434B92" w:rsidRDefault="00434B92" w:rsidP="00F70B8C">
        <w:pPr>
          <w:pStyle w:val="Footer"/>
          <w:jc w:val="center"/>
        </w:pPr>
        <w:r>
          <w:fldChar w:fldCharType="begin"/>
        </w:r>
        <w:r>
          <w:instrText xml:space="preserve"> PAGE   \* MERGEFORMAT </w:instrText>
        </w:r>
        <w:r>
          <w:fldChar w:fldCharType="separate"/>
        </w:r>
        <w:r w:rsidR="000854C9">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382" w:rsidRDefault="00240382" w:rsidP="00434B92">
      <w:pPr>
        <w:spacing w:after="0" w:line="240" w:lineRule="auto"/>
      </w:pPr>
      <w:r>
        <w:separator/>
      </w:r>
    </w:p>
  </w:footnote>
  <w:footnote w:type="continuationSeparator" w:id="0">
    <w:p w:rsidR="00240382" w:rsidRDefault="00240382" w:rsidP="00434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16"/>
      <w:gridCol w:w="2500"/>
    </w:tblGrid>
    <w:tr w:rsidR="00C3108E" w:rsidTr="00393D85">
      <w:trPr>
        <w:trHeight w:val="1691"/>
      </w:trPr>
      <w:tc>
        <w:tcPr>
          <w:tcW w:w="6912" w:type="dxa"/>
          <w:vAlign w:val="center"/>
        </w:tcPr>
        <w:p w:rsidR="00C3108E" w:rsidRPr="00C3108E" w:rsidRDefault="00C3108E" w:rsidP="00C3108E">
          <w:pPr>
            <w:pStyle w:val="Title"/>
            <w:rPr>
              <w:sz w:val="32"/>
              <w:szCs w:val="32"/>
            </w:rPr>
          </w:pPr>
          <w:r w:rsidRPr="00434B92">
            <w:rPr>
              <w:sz w:val="32"/>
              <w:szCs w:val="32"/>
            </w:rPr>
            <w:t>ENROLMENT POLIC</w:t>
          </w:r>
          <w:r>
            <w:rPr>
              <w:sz w:val="32"/>
              <w:szCs w:val="32"/>
            </w:rPr>
            <w:t>y</w:t>
          </w:r>
        </w:p>
      </w:tc>
      <w:tc>
        <w:tcPr>
          <w:tcW w:w="2694" w:type="dxa"/>
        </w:tcPr>
        <w:p w:rsidR="00C3108E" w:rsidRDefault="00C3108E" w:rsidP="00C3108E">
          <w:pPr>
            <w:pStyle w:val="Title"/>
            <w:jc w:val="right"/>
          </w:pPr>
          <w:r>
            <w:rPr>
              <w:noProof/>
            </w:rPr>
            <w:drawing>
              <wp:anchor distT="0" distB="0" distL="114300" distR="114300" simplePos="0" relativeHeight="251659264" behindDoc="0" locked="0" layoutInCell="1" allowOverlap="1" wp14:anchorId="45CCB6EC" wp14:editId="599248FC">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434B92" w:rsidRDefault="00434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7D6F"/>
    <w:multiLevelType w:val="hybridMultilevel"/>
    <w:tmpl w:val="E2F6AF10"/>
    <w:lvl w:ilvl="0" w:tplc="E9A63CAE">
      <w:numFmt w:val="bullet"/>
      <w:lvlText w:val="─"/>
      <w:lvlJc w:val="left"/>
      <w:pPr>
        <w:ind w:left="1134" w:hanging="360"/>
      </w:pPr>
      <w:rPr>
        <w:rFonts w:ascii="Calibri Light" w:eastAsiaTheme="minorHAnsi" w:hAnsi="Calibri Light" w:cstheme="minorBidi" w:hint="default"/>
        <w:color w:val="auto"/>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1" w15:restartNumberingAfterBreak="0">
    <w:nsid w:val="17EB5760"/>
    <w:multiLevelType w:val="hybridMultilevel"/>
    <w:tmpl w:val="3822E0B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C4692"/>
    <w:multiLevelType w:val="hybridMultilevel"/>
    <w:tmpl w:val="66E4B32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A2935"/>
    <w:multiLevelType w:val="hybridMultilevel"/>
    <w:tmpl w:val="B764277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57108C"/>
    <w:multiLevelType w:val="hybridMultilevel"/>
    <w:tmpl w:val="CCC4FCC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6D736E"/>
    <w:multiLevelType w:val="hybridMultilevel"/>
    <w:tmpl w:val="0DD4D01E"/>
    <w:lvl w:ilvl="0" w:tplc="479812EC">
      <w:start w:val="1"/>
      <w:numFmt w:val="bullet"/>
      <w:lvlText w:val=""/>
      <w:lvlJc w:val="left"/>
      <w:pPr>
        <w:ind w:left="1134" w:hanging="360"/>
      </w:pPr>
      <w:rPr>
        <w:rFonts w:ascii="Symbol" w:hAnsi="Symbol" w:hint="default"/>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6" w15:restartNumberingAfterBreak="0">
    <w:nsid w:val="560C45A4"/>
    <w:multiLevelType w:val="hybridMultilevel"/>
    <w:tmpl w:val="171CE8B2"/>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566D60BF"/>
    <w:multiLevelType w:val="hybridMultilevel"/>
    <w:tmpl w:val="7FA8B93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4120B0"/>
    <w:multiLevelType w:val="hybridMultilevel"/>
    <w:tmpl w:val="FBC2C3D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C453EF"/>
    <w:multiLevelType w:val="hybridMultilevel"/>
    <w:tmpl w:val="78606564"/>
    <w:lvl w:ilvl="0" w:tplc="479812EC">
      <w:start w:val="1"/>
      <w:numFmt w:val="bullet"/>
      <w:lvlText w:val=""/>
      <w:lvlJc w:val="left"/>
      <w:pPr>
        <w:ind w:left="1134" w:hanging="360"/>
      </w:pPr>
      <w:rPr>
        <w:rFonts w:ascii="Symbol" w:hAnsi="Symbol" w:hint="default"/>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10" w15:restartNumberingAfterBreak="0">
    <w:nsid w:val="59F30EA6"/>
    <w:multiLevelType w:val="hybridMultilevel"/>
    <w:tmpl w:val="4CB2D5E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9E26E3"/>
    <w:multiLevelType w:val="hybridMultilevel"/>
    <w:tmpl w:val="0CE4CD02"/>
    <w:lvl w:ilvl="0" w:tplc="E9A63CAE">
      <w:numFmt w:val="bullet"/>
      <w:lvlText w:val="─"/>
      <w:lvlJc w:val="left"/>
      <w:pPr>
        <w:ind w:left="1134" w:hanging="360"/>
      </w:pPr>
      <w:rPr>
        <w:rFonts w:ascii="Calibri Light" w:eastAsiaTheme="minorHAnsi" w:hAnsi="Calibri Light" w:cstheme="minorBidi" w:hint="default"/>
        <w:color w:val="auto"/>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12" w15:restartNumberingAfterBreak="0">
    <w:nsid w:val="5E9B1A1A"/>
    <w:multiLevelType w:val="hybridMultilevel"/>
    <w:tmpl w:val="1F60FFBE"/>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3" w15:restartNumberingAfterBreak="0">
    <w:nsid w:val="631605BE"/>
    <w:multiLevelType w:val="hybridMultilevel"/>
    <w:tmpl w:val="94C854AC"/>
    <w:lvl w:ilvl="0" w:tplc="E9A63CAE">
      <w:numFmt w:val="bullet"/>
      <w:lvlText w:val="─"/>
      <w:lvlJc w:val="left"/>
      <w:pPr>
        <w:ind w:left="1004" w:hanging="360"/>
      </w:pPr>
      <w:rPr>
        <w:rFonts w:ascii="Calibri Light" w:eastAsiaTheme="minorHAnsi" w:hAnsi="Calibri Light" w:cstheme="minorBidi"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6D30A44"/>
    <w:multiLevelType w:val="hybridMultilevel"/>
    <w:tmpl w:val="191E0E68"/>
    <w:lvl w:ilvl="0" w:tplc="479812E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9EE1F44"/>
    <w:multiLevelType w:val="hybridMultilevel"/>
    <w:tmpl w:val="31F030DE"/>
    <w:lvl w:ilvl="0" w:tplc="479812EC">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6" w15:restartNumberingAfterBreak="0">
    <w:nsid w:val="6FCF14FD"/>
    <w:multiLevelType w:val="hybridMultilevel"/>
    <w:tmpl w:val="DA9E6688"/>
    <w:lvl w:ilvl="0" w:tplc="479812E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70D30FA4"/>
    <w:multiLevelType w:val="hybridMultilevel"/>
    <w:tmpl w:val="3176065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6757B4"/>
    <w:multiLevelType w:val="hybridMultilevel"/>
    <w:tmpl w:val="81E0D00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DE7B1D"/>
    <w:multiLevelType w:val="hybridMultilevel"/>
    <w:tmpl w:val="D6ECA93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0"/>
  </w:num>
  <w:num w:numId="5">
    <w:abstractNumId w:val="11"/>
  </w:num>
  <w:num w:numId="6">
    <w:abstractNumId w:val="17"/>
  </w:num>
  <w:num w:numId="7">
    <w:abstractNumId w:val="5"/>
  </w:num>
  <w:num w:numId="8">
    <w:abstractNumId w:val="9"/>
  </w:num>
  <w:num w:numId="9">
    <w:abstractNumId w:val="15"/>
  </w:num>
  <w:num w:numId="10">
    <w:abstractNumId w:val="12"/>
  </w:num>
  <w:num w:numId="11">
    <w:abstractNumId w:val="2"/>
  </w:num>
  <w:num w:numId="12">
    <w:abstractNumId w:val="1"/>
  </w:num>
  <w:num w:numId="13">
    <w:abstractNumId w:val="19"/>
  </w:num>
  <w:num w:numId="14">
    <w:abstractNumId w:val="8"/>
  </w:num>
  <w:num w:numId="15">
    <w:abstractNumId w:val="3"/>
  </w:num>
  <w:num w:numId="16">
    <w:abstractNumId w:val="13"/>
  </w:num>
  <w:num w:numId="17">
    <w:abstractNumId w:val="14"/>
  </w:num>
  <w:num w:numId="18">
    <w:abstractNumId w:val="16"/>
  </w:num>
  <w:num w:numId="19">
    <w:abstractNumId w:val="18"/>
  </w:num>
  <w:num w:numId="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76E"/>
    <w:rsid w:val="0000402F"/>
    <w:rsid w:val="00077665"/>
    <w:rsid w:val="000854C9"/>
    <w:rsid w:val="000C0DAD"/>
    <w:rsid w:val="00135515"/>
    <w:rsid w:val="001A7D56"/>
    <w:rsid w:val="00240382"/>
    <w:rsid w:val="002A7758"/>
    <w:rsid w:val="00324029"/>
    <w:rsid w:val="003260E8"/>
    <w:rsid w:val="003921BB"/>
    <w:rsid w:val="003A7E73"/>
    <w:rsid w:val="00434B92"/>
    <w:rsid w:val="00530319"/>
    <w:rsid w:val="006B301C"/>
    <w:rsid w:val="006E7F27"/>
    <w:rsid w:val="00854709"/>
    <w:rsid w:val="00940D4A"/>
    <w:rsid w:val="00A66E40"/>
    <w:rsid w:val="00B22DAF"/>
    <w:rsid w:val="00BE2EA6"/>
    <w:rsid w:val="00C3108E"/>
    <w:rsid w:val="00D87AC0"/>
    <w:rsid w:val="00F1276E"/>
    <w:rsid w:val="00F147A1"/>
    <w:rsid w:val="00F526D8"/>
    <w:rsid w:val="00F70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60AA4"/>
  <w15:chartTrackingRefBased/>
  <w15:docId w15:val="{6C681A84-A482-48F9-9AAF-1FCC4A61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76E"/>
    <w:pPr>
      <w:spacing w:after="0" w:line="240" w:lineRule="auto"/>
    </w:pPr>
  </w:style>
  <w:style w:type="character" w:styleId="Hyperlink">
    <w:name w:val="Hyperlink"/>
    <w:uiPriority w:val="99"/>
    <w:unhideWhenUsed/>
    <w:rsid w:val="00B22DAF"/>
    <w:rPr>
      <w:color w:val="0000FF"/>
      <w:u w:val="single"/>
    </w:rPr>
  </w:style>
  <w:style w:type="paragraph" w:styleId="BodyText2">
    <w:name w:val="Body Text 2"/>
    <w:basedOn w:val="Normal"/>
    <w:link w:val="BodyText2Char"/>
    <w:rsid w:val="00077665"/>
    <w:pPr>
      <w:overflowPunct w:val="0"/>
      <w:autoSpaceDE w:val="0"/>
      <w:autoSpaceDN w:val="0"/>
      <w:adjustRightInd w:val="0"/>
      <w:spacing w:after="0" w:line="240" w:lineRule="auto"/>
      <w:ind w:left="720" w:hanging="720"/>
      <w:textAlignment w:val="baseline"/>
    </w:pPr>
    <w:rPr>
      <w:rFonts w:ascii="Arial" w:eastAsia="Times New Roman" w:hAnsi="Arial" w:cs="Times New Roman"/>
      <w:sz w:val="24"/>
      <w:szCs w:val="20"/>
    </w:rPr>
  </w:style>
  <w:style w:type="character" w:customStyle="1" w:styleId="BodyText2Char">
    <w:name w:val="Body Text 2 Char"/>
    <w:basedOn w:val="DefaultParagraphFont"/>
    <w:link w:val="BodyText2"/>
    <w:rsid w:val="00077665"/>
    <w:rPr>
      <w:rFonts w:ascii="Arial" w:eastAsia="Times New Roman" w:hAnsi="Arial" w:cs="Times New Roman"/>
      <w:sz w:val="24"/>
      <w:szCs w:val="20"/>
    </w:rPr>
  </w:style>
  <w:style w:type="paragraph" w:styleId="BodyText">
    <w:name w:val="Body Text"/>
    <w:basedOn w:val="Normal"/>
    <w:link w:val="BodyTextChar"/>
    <w:uiPriority w:val="99"/>
    <w:unhideWhenUsed/>
    <w:rsid w:val="0007766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07766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66E4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4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B92"/>
  </w:style>
  <w:style w:type="paragraph" w:styleId="Footer">
    <w:name w:val="footer"/>
    <w:basedOn w:val="Normal"/>
    <w:link w:val="FooterChar"/>
    <w:uiPriority w:val="99"/>
    <w:unhideWhenUsed/>
    <w:rsid w:val="00434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B92"/>
  </w:style>
  <w:style w:type="paragraph" w:styleId="Title">
    <w:name w:val="Title"/>
    <w:basedOn w:val="Normal"/>
    <w:link w:val="TitleChar"/>
    <w:qFormat/>
    <w:rsid w:val="00434B92"/>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434B92"/>
    <w:rPr>
      <w:rFonts w:asciiTheme="majorHAnsi" w:eastAsia="Times New Roman" w:hAnsiTheme="majorHAnsi" w:cs="Times New Roman"/>
      <w:b/>
      <w:caps/>
      <w:sz w:val="28"/>
      <w:szCs w:val="24"/>
    </w:rPr>
  </w:style>
  <w:style w:type="table" w:styleId="TableGrid">
    <w:name w:val="Table Grid"/>
    <w:basedOn w:val="TableNormal"/>
    <w:rsid w:val="00434B92"/>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434B92"/>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school/principals/spag/governance/pages/archive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mmunise.health.gov.au/internet/immunise/publishing.nsf/Content/national-immunisation-program-schedu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health/Pages/immunisation.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dugate.eduweb.vic.gov.au/Services/bussys/cases21/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school/principals/spag/participation/pages/enrolmen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4B2F6-B975-478E-93A2-5D880156D442}">
  <ds:schemaRefs>
    <ds:schemaRef ds:uri="http://schemas.microsoft.com/sharepoint/v3/contenttype/forms"/>
  </ds:schemaRefs>
</ds:datastoreItem>
</file>

<file path=customXml/itemProps2.xml><?xml version="1.0" encoding="utf-8"?>
<ds:datastoreItem xmlns:ds="http://schemas.openxmlformats.org/officeDocument/2006/customXml" ds:itemID="{FF845B9F-D74D-4A0B-B2F8-84F0F422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57BC4-1666-4BEC-A67B-8E51E1DF92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9</cp:revision>
  <dcterms:created xsi:type="dcterms:W3CDTF">2017-05-18T05:44:00Z</dcterms:created>
  <dcterms:modified xsi:type="dcterms:W3CDTF">2017-12-31T05:50:00Z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