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5AA" w:rsidRPr="00BD1531" w:rsidRDefault="00C225AA" w:rsidP="00BD1531">
      <w:pPr>
        <w:pStyle w:val="NoSpacing"/>
        <w:ind w:right="-46"/>
        <w:rPr>
          <w:rStyle w:val="SubtleReference"/>
        </w:rPr>
      </w:pPr>
      <w:r w:rsidRPr="00BD1531">
        <w:rPr>
          <w:rStyle w:val="SubtleReference"/>
        </w:rPr>
        <w:t>Rationale</w:t>
      </w:r>
    </w:p>
    <w:p w:rsidR="00C225AA" w:rsidRPr="00BD1531" w:rsidRDefault="001B06C2" w:rsidP="00BD1531">
      <w:pPr>
        <w:pStyle w:val="NoSpacing"/>
        <w:numPr>
          <w:ilvl w:val="0"/>
          <w:numId w:val="2"/>
        </w:numPr>
        <w:ind w:left="567" w:right="-46" w:hanging="567"/>
        <w:jc w:val="both"/>
        <w:rPr>
          <w:rFonts w:asciiTheme="majorHAnsi" w:hAnsiTheme="majorHAnsi"/>
          <w:sz w:val="24"/>
          <w:szCs w:val="24"/>
          <w:lang w:eastAsia="en-AU"/>
        </w:rPr>
      </w:pPr>
      <w:r w:rsidRPr="00BD1531">
        <w:rPr>
          <w:rFonts w:asciiTheme="majorHAnsi" w:hAnsiTheme="majorHAnsi"/>
          <w:sz w:val="24"/>
          <w:szCs w:val="24"/>
          <w:lang w:eastAsia="en-AU"/>
        </w:rPr>
        <w:t>Charles La Trobe</w:t>
      </w:r>
      <w:r w:rsidR="00C225AA" w:rsidRPr="00BD1531">
        <w:rPr>
          <w:rFonts w:asciiTheme="majorHAnsi" w:hAnsiTheme="majorHAnsi"/>
          <w:sz w:val="24"/>
          <w:szCs w:val="24"/>
          <w:lang w:eastAsia="en-AU"/>
        </w:rPr>
        <w:t xml:space="preserve"> </w:t>
      </w:r>
      <w:r w:rsidR="00C225AA" w:rsidRPr="00BD1531">
        <w:rPr>
          <w:rFonts w:asciiTheme="majorHAnsi" w:hAnsiTheme="majorHAnsi"/>
          <w:iCs/>
          <w:sz w:val="24"/>
          <w:szCs w:val="24"/>
          <w:lang w:eastAsia="en-AU"/>
        </w:rPr>
        <w:t>College</w:t>
      </w:r>
      <w:r w:rsidR="00C225AA" w:rsidRPr="00BD1531">
        <w:rPr>
          <w:rFonts w:asciiTheme="majorHAnsi" w:hAnsiTheme="majorHAnsi"/>
          <w:sz w:val="24"/>
          <w:szCs w:val="24"/>
          <w:lang w:eastAsia="en-AU"/>
        </w:rPr>
        <w:t xml:space="preserve"> recognises that the quality of the workforce is the major factor driving quality in schools and early childhood services. </w:t>
      </w:r>
    </w:p>
    <w:p w:rsidR="00C225AA" w:rsidRPr="00BD1531" w:rsidRDefault="00C225AA" w:rsidP="00BD1531">
      <w:pPr>
        <w:pStyle w:val="NoSpacing"/>
        <w:numPr>
          <w:ilvl w:val="0"/>
          <w:numId w:val="2"/>
        </w:numPr>
        <w:ind w:left="567" w:right="-46" w:hanging="567"/>
        <w:jc w:val="both"/>
        <w:rPr>
          <w:rFonts w:asciiTheme="majorHAnsi" w:hAnsiTheme="majorHAnsi"/>
          <w:sz w:val="24"/>
          <w:szCs w:val="24"/>
        </w:rPr>
      </w:pPr>
      <w:r w:rsidRPr="00BD1531">
        <w:rPr>
          <w:rFonts w:asciiTheme="majorHAnsi" w:hAnsiTheme="majorHAnsi"/>
          <w:sz w:val="24"/>
          <w:szCs w:val="24"/>
        </w:rPr>
        <w:t xml:space="preserve">The school takes all reasonable steps to employ skilled people to work with children. </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eastAsia="en-AU"/>
        </w:rPr>
      </w:pPr>
      <w:r w:rsidRPr="00BD1531">
        <w:rPr>
          <w:rFonts w:asciiTheme="majorHAnsi" w:hAnsiTheme="majorHAnsi" w:cs="Arial"/>
          <w:color w:val="333333"/>
          <w:sz w:val="24"/>
          <w:szCs w:val="24"/>
          <w:lang w:val="en-US"/>
        </w:rPr>
        <w:t xml:space="preserve">The conditions of employment for Teaching Service employees are set out in Part 2.4 of the </w:t>
      </w:r>
      <w:r w:rsidRPr="00BD1531">
        <w:rPr>
          <w:rFonts w:asciiTheme="majorHAnsi" w:hAnsiTheme="majorHAnsi" w:cs="Arial"/>
          <w:i/>
          <w:iCs/>
          <w:color w:val="333333"/>
          <w:sz w:val="24"/>
          <w:szCs w:val="24"/>
          <w:lang w:val="en-US"/>
        </w:rPr>
        <w:t>Education and Training Reform Act 2006</w:t>
      </w:r>
      <w:r w:rsidRPr="00BD1531">
        <w:rPr>
          <w:rFonts w:asciiTheme="majorHAnsi" w:hAnsiTheme="majorHAnsi" w:cs="Arial"/>
          <w:color w:val="333333"/>
          <w:sz w:val="24"/>
          <w:szCs w:val="24"/>
          <w:lang w:val="en-US"/>
        </w:rPr>
        <w:t xml:space="preserve">, Regulations and Ministerial Order 199 made under that Act and the </w:t>
      </w:r>
      <w:r w:rsidRPr="00BD1531">
        <w:rPr>
          <w:rFonts w:asciiTheme="majorHAnsi" w:hAnsiTheme="majorHAnsi" w:cs="Arial"/>
          <w:iCs/>
          <w:color w:val="333333"/>
          <w:sz w:val="24"/>
          <w:szCs w:val="24"/>
          <w:lang w:val="en-US"/>
        </w:rPr>
        <w:t>Victorian Government Schools Agreement July 2013</w:t>
      </w:r>
      <w:r w:rsidRPr="00BD1531">
        <w:rPr>
          <w:rFonts w:asciiTheme="majorHAnsi" w:hAnsiTheme="majorHAnsi" w:cs="Arial"/>
          <w:color w:val="333333"/>
          <w:sz w:val="24"/>
          <w:szCs w:val="24"/>
          <w:lang w:val="en-US"/>
        </w:rPr>
        <w:t>. </w:t>
      </w:r>
    </w:p>
    <w:p w:rsidR="00C225AA" w:rsidRPr="00BD1531" w:rsidRDefault="00C225AA" w:rsidP="00BD1531">
      <w:pPr>
        <w:pStyle w:val="ListParagraph"/>
        <w:numPr>
          <w:ilvl w:val="0"/>
          <w:numId w:val="2"/>
        </w:numPr>
        <w:ind w:left="567" w:right="-46" w:hanging="567"/>
        <w:jc w:val="both"/>
        <w:rPr>
          <w:rFonts w:asciiTheme="majorHAnsi" w:hAnsiTheme="majorHAnsi"/>
        </w:rPr>
      </w:pPr>
      <w:r w:rsidRPr="00BD1531">
        <w:rPr>
          <w:rFonts w:asciiTheme="majorHAnsi" w:hAnsiTheme="majorHAnsi"/>
          <w:lang w:eastAsia="en-AU"/>
        </w:rPr>
        <w:t xml:space="preserve">Employees in the principal class, teacher class and paraprofessional class are employed pursuant to the </w:t>
      </w:r>
      <w:r w:rsidRPr="00BD1531">
        <w:rPr>
          <w:rFonts w:asciiTheme="majorHAnsi" w:hAnsiTheme="majorHAnsi"/>
          <w:i/>
          <w:lang w:eastAsia="en-AU"/>
        </w:rPr>
        <w:t>Education and Training Reform Act 2006</w:t>
      </w:r>
      <w:r w:rsidRPr="00BD1531">
        <w:rPr>
          <w:rFonts w:asciiTheme="majorHAnsi" w:hAnsiTheme="majorHAnsi"/>
          <w:lang w:eastAsia="en-AU"/>
        </w:rPr>
        <w:t xml:space="preserve"> and are required to have valid and</w:t>
      </w:r>
      <w:r w:rsidRPr="00BD1531">
        <w:rPr>
          <w:rFonts w:asciiTheme="majorHAnsi" w:hAnsiTheme="majorHAnsi"/>
        </w:rPr>
        <w:t xml:space="preserve"> current registration with the </w:t>
      </w:r>
      <w:hyperlink r:id="rId10" w:history="1">
        <w:r w:rsidRPr="00BD1531">
          <w:rPr>
            <w:rStyle w:val="Hyperlink"/>
            <w:rFonts w:asciiTheme="majorHAnsi" w:hAnsiTheme="majorHAnsi"/>
          </w:rPr>
          <w:t>Victorian Institute of Teaching</w:t>
        </w:r>
      </w:hyperlink>
      <w:r w:rsidRPr="00BD1531">
        <w:rPr>
          <w:rFonts w:asciiTheme="majorHAnsi" w:hAnsiTheme="majorHAnsi"/>
        </w:rPr>
        <w:t xml:space="preserve"> as a condition of employment. </w:t>
      </w:r>
    </w:p>
    <w:p w:rsidR="00C225AA" w:rsidRPr="00BD1531" w:rsidRDefault="00C225AA" w:rsidP="00BD1531">
      <w:pPr>
        <w:pStyle w:val="ListParagraph"/>
        <w:numPr>
          <w:ilvl w:val="0"/>
          <w:numId w:val="2"/>
        </w:numPr>
        <w:ind w:left="567" w:right="-46" w:hanging="567"/>
        <w:jc w:val="both"/>
        <w:rPr>
          <w:rFonts w:asciiTheme="majorHAnsi" w:hAnsiTheme="majorHAnsi"/>
          <w:lang w:eastAsia="en-AU"/>
        </w:rPr>
      </w:pPr>
      <w:r w:rsidRPr="00BD1531">
        <w:rPr>
          <w:rFonts w:asciiTheme="majorHAnsi" w:hAnsiTheme="majorHAnsi"/>
          <w:lang w:eastAsia="en-AU"/>
        </w:rPr>
        <w:t xml:space="preserve">Education support class employees must demonstrate their suitability for employment by providing evidence of a WWC Check and Assessment Notice. </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eastAsia="en-AU"/>
        </w:rPr>
      </w:pPr>
      <w:r w:rsidRPr="00BD1531">
        <w:rPr>
          <w:rFonts w:asciiTheme="majorHAnsi" w:hAnsiTheme="majorHAnsi"/>
          <w:sz w:val="24"/>
          <w:szCs w:val="24"/>
          <w:lang w:eastAsia="en-AU"/>
        </w:rPr>
        <w:t>The Principal has the delegated authority and responsibility within the context of a legislative framework to manage the recruitment of staff as vacancies arise.</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The </w:t>
      </w:r>
      <w:r w:rsidRPr="00BD1531">
        <w:rPr>
          <w:rFonts w:asciiTheme="majorHAnsi" w:hAnsiTheme="majorHAnsi"/>
          <w:i/>
          <w:iCs/>
          <w:sz w:val="24"/>
          <w:szCs w:val="24"/>
          <w:lang w:eastAsia="en-AU"/>
        </w:rPr>
        <w:t>Recruitment in Schools</w:t>
      </w:r>
      <w:r w:rsidRPr="00BD1531">
        <w:rPr>
          <w:rFonts w:asciiTheme="majorHAnsi" w:hAnsiTheme="majorHAnsi"/>
          <w:sz w:val="24"/>
          <w:szCs w:val="24"/>
          <w:lang w:eastAsia="en-AU"/>
        </w:rPr>
        <w:t xml:space="preserve"> </w:t>
      </w:r>
      <w:r w:rsidRPr="00BD1531">
        <w:rPr>
          <w:rFonts w:asciiTheme="majorHAnsi" w:hAnsiTheme="majorHAnsi"/>
          <w:i/>
          <w:sz w:val="24"/>
          <w:szCs w:val="24"/>
          <w:lang w:eastAsia="en-AU"/>
        </w:rPr>
        <w:t>Guide</w:t>
      </w:r>
      <w:r w:rsidRPr="00BD1531">
        <w:rPr>
          <w:rFonts w:asciiTheme="majorHAnsi" w:hAnsiTheme="majorHAnsi"/>
          <w:sz w:val="24"/>
          <w:szCs w:val="24"/>
          <w:lang w:eastAsia="en-AU"/>
        </w:rPr>
        <w:t xml:space="preserve"> </w:t>
      </w:r>
      <w:r w:rsidR="007D63B6" w:rsidRPr="00BD1531">
        <w:rPr>
          <w:rFonts w:asciiTheme="majorHAnsi" w:hAnsiTheme="majorHAnsi"/>
          <w:sz w:val="24"/>
          <w:szCs w:val="24"/>
          <w:lang w:eastAsia="en-AU"/>
        </w:rPr>
        <w:t>June 2017</w:t>
      </w:r>
      <w:r w:rsidRPr="00BD1531">
        <w:rPr>
          <w:rFonts w:asciiTheme="majorHAnsi" w:hAnsiTheme="majorHAnsi"/>
          <w:sz w:val="24"/>
          <w:szCs w:val="24"/>
          <w:lang w:eastAsia="en-AU"/>
        </w:rPr>
        <w:t xml:space="preserve"> brings together the key aspects of recruitment policy and other Human Resources policies to assist the College in the recruitment, transfer and promotion of staff to meet both the short and </w:t>
      </w:r>
      <w:proofErr w:type="gramStart"/>
      <w:r w:rsidRPr="00BD1531">
        <w:rPr>
          <w:rFonts w:asciiTheme="majorHAnsi" w:hAnsiTheme="majorHAnsi"/>
          <w:sz w:val="24"/>
          <w:szCs w:val="24"/>
          <w:lang w:eastAsia="en-AU"/>
        </w:rPr>
        <w:t>long term</w:t>
      </w:r>
      <w:proofErr w:type="gramEnd"/>
      <w:r w:rsidRPr="00BD1531">
        <w:rPr>
          <w:rFonts w:asciiTheme="majorHAnsi" w:hAnsiTheme="majorHAnsi"/>
          <w:sz w:val="24"/>
          <w:szCs w:val="24"/>
          <w:lang w:eastAsia="en-AU"/>
        </w:rPr>
        <w:t xml:space="preserve"> needs, and the professional learning needs and career aspirations of staff. These policy and procedures outlined apply to all Teaching Service positions other than principal positions.</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The </w:t>
      </w:r>
      <w:r w:rsidRPr="00BD1531">
        <w:rPr>
          <w:rFonts w:asciiTheme="majorHAnsi" w:hAnsiTheme="majorHAnsi"/>
          <w:i/>
          <w:iCs/>
          <w:sz w:val="24"/>
          <w:szCs w:val="24"/>
          <w:lang w:eastAsia="en-AU"/>
        </w:rPr>
        <w:t>Guide</w:t>
      </w:r>
      <w:r w:rsidRPr="00BD1531">
        <w:rPr>
          <w:rFonts w:asciiTheme="majorHAnsi" w:hAnsiTheme="majorHAnsi"/>
          <w:sz w:val="24"/>
          <w:szCs w:val="24"/>
          <w:lang w:eastAsia="en-AU"/>
        </w:rPr>
        <w:t>, which is available below, provides comprehensive policy and information concerning recruitment in schools including the following:</w:t>
      </w:r>
    </w:p>
    <w:p w:rsidR="00C225AA" w:rsidRPr="00BD1531" w:rsidRDefault="00C225AA" w:rsidP="00BD1531">
      <w:pPr>
        <w:pStyle w:val="NoSpacing"/>
        <w:numPr>
          <w:ilvl w:val="0"/>
          <w:numId w:val="3"/>
        </w:numPr>
        <w:ind w:left="1134"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Preferred staffing profile </w:t>
      </w:r>
    </w:p>
    <w:p w:rsidR="00C225AA" w:rsidRPr="00BD1531" w:rsidRDefault="00C225AA" w:rsidP="00BD1531">
      <w:pPr>
        <w:pStyle w:val="NoSpacing"/>
        <w:numPr>
          <w:ilvl w:val="0"/>
          <w:numId w:val="3"/>
        </w:numPr>
        <w:ind w:left="1134"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Vacancy management </w:t>
      </w:r>
    </w:p>
    <w:p w:rsidR="00C225AA" w:rsidRPr="00BD1531" w:rsidRDefault="00C225AA" w:rsidP="00BD1531">
      <w:pPr>
        <w:pStyle w:val="NoSpacing"/>
        <w:numPr>
          <w:ilvl w:val="0"/>
          <w:numId w:val="3"/>
        </w:numPr>
        <w:ind w:left="1134"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Advertising vacancies </w:t>
      </w:r>
    </w:p>
    <w:p w:rsidR="00C225AA" w:rsidRPr="00BD1531" w:rsidRDefault="00C225AA" w:rsidP="00BD1531">
      <w:pPr>
        <w:pStyle w:val="NoSpacing"/>
        <w:numPr>
          <w:ilvl w:val="0"/>
          <w:numId w:val="3"/>
        </w:numPr>
        <w:ind w:left="1134"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Staff with priority status </w:t>
      </w:r>
    </w:p>
    <w:p w:rsidR="00C225AA" w:rsidRPr="00BD1531" w:rsidRDefault="00C225AA" w:rsidP="00BD1531">
      <w:pPr>
        <w:pStyle w:val="NoSpacing"/>
        <w:numPr>
          <w:ilvl w:val="0"/>
          <w:numId w:val="3"/>
        </w:numPr>
        <w:ind w:left="1134"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Selection </w:t>
      </w:r>
    </w:p>
    <w:p w:rsidR="00C225AA" w:rsidRPr="00BD1531" w:rsidRDefault="00C225AA" w:rsidP="00BD1531">
      <w:pPr>
        <w:pStyle w:val="NoSpacing"/>
        <w:numPr>
          <w:ilvl w:val="0"/>
          <w:numId w:val="3"/>
        </w:numPr>
        <w:ind w:left="1134"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Qualifications </w:t>
      </w:r>
    </w:p>
    <w:p w:rsidR="00C225AA" w:rsidRPr="00BD1531" w:rsidRDefault="00C225AA" w:rsidP="00BD1531">
      <w:pPr>
        <w:pStyle w:val="NoSpacing"/>
        <w:numPr>
          <w:ilvl w:val="0"/>
          <w:numId w:val="3"/>
        </w:numPr>
        <w:ind w:left="1134"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Employment, promotion or transfer </w:t>
      </w:r>
    </w:p>
    <w:p w:rsidR="00C225AA" w:rsidRPr="00BD1531" w:rsidRDefault="00C225AA" w:rsidP="00BD1531">
      <w:pPr>
        <w:pStyle w:val="NoSpacing"/>
        <w:numPr>
          <w:ilvl w:val="0"/>
          <w:numId w:val="3"/>
        </w:numPr>
        <w:ind w:left="1134"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Review/grievance </w:t>
      </w:r>
    </w:p>
    <w:p w:rsidR="00C225AA" w:rsidRPr="00BD1531" w:rsidRDefault="00C225AA" w:rsidP="00BD1531">
      <w:pPr>
        <w:pStyle w:val="NoSpacing"/>
        <w:numPr>
          <w:ilvl w:val="0"/>
          <w:numId w:val="4"/>
        </w:numPr>
        <w:ind w:left="567" w:right="-46" w:hanging="567"/>
        <w:jc w:val="both"/>
        <w:rPr>
          <w:rFonts w:asciiTheme="majorHAnsi" w:hAnsiTheme="majorHAnsi"/>
          <w:sz w:val="24"/>
          <w:szCs w:val="24"/>
          <w:lang w:val="en-US" w:eastAsia="en-AU"/>
        </w:rPr>
      </w:pPr>
      <w:r w:rsidRPr="00BD1531">
        <w:rPr>
          <w:rFonts w:asciiTheme="majorHAnsi" w:hAnsiTheme="majorHAnsi"/>
          <w:sz w:val="24"/>
          <w:szCs w:val="24"/>
          <w:lang w:val="en-US" w:eastAsia="en-AU"/>
        </w:rPr>
        <w:t xml:space="preserve">The College </w:t>
      </w:r>
      <w:proofErr w:type="spellStart"/>
      <w:r w:rsidRPr="00BD1531">
        <w:rPr>
          <w:rFonts w:asciiTheme="majorHAnsi" w:hAnsiTheme="majorHAnsi"/>
          <w:sz w:val="24"/>
          <w:szCs w:val="24"/>
          <w:lang w:val="en-US" w:eastAsia="en-AU"/>
        </w:rPr>
        <w:t>recognises</w:t>
      </w:r>
      <w:proofErr w:type="spellEnd"/>
      <w:r w:rsidRPr="00BD1531">
        <w:rPr>
          <w:rFonts w:asciiTheme="majorHAnsi" w:hAnsiTheme="majorHAnsi"/>
          <w:sz w:val="24"/>
          <w:szCs w:val="24"/>
          <w:lang w:val="en-US" w:eastAsia="en-AU"/>
        </w:rPr>
        <w:t xml:space="preserve"> the importance of flexible work arrangements and family friendly work practices in maintaining a diverse, adaptive and high performing workforce.</w:t>
      </w:r>
    </w:p>
    <w:p w:rsidR="00C225AA" w:rsidRPr="00BD1531" w:rsidRDefault="00C225AA" w:rsidP="00BD1531">
      <w:pPr>
        <w:pStyle w:val="NoSpacing"/>
        <w:ind w:left="567" w:right="-46" w:hanging="567"/>
        <w:jc w:val="both"/>
        <w:rPr>
          <w:rFonts w:asciiTheme="majorHAnsi" w:hAnsiTheme="majorHAnsi"/>
          <w:b/>
          <w:sz w:val="24"/>
          <w:szCs w:val="24"/>
          <w:u w:val="single"/>
        </w:rPr>
      </w:pPr>
    </w:p>
    <w:p w:rsidR="00C225AA" w:rsidRPr="00BD1531" w:rsidRDefault="00C225AA" w:rsidP="00BD1531">
      <w:pPr>
        <w:pStyle w:val="NoSpacing"/>
        <w:ind w:left="567" w:right="-46" w:hanging="567"/>
        <w:jc w:val="both"/>
        <w:rPr>
          <w:rStyle w:val="SubtleReference"/>
        </w:rPr>
      </w:pPr>
      <w:r w:rsidRPr="00BD1531">
        <w:rPr>
          <w:rStyle w:val="SubtleReference"/>
        </w:rPr>
        <w:t>Purpose</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To create a contemporary workplace and to build a culture of leadership, learning and renewal. </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eastAsia="en-AU"/>
        </w:rPr>
      </w:pPr>
      <w:r w:rsidRPr="00BD1531">
        <w:rPr>
          <w:rFonts w:asciiTheme="majorHAnsi" w:hAnsiTheme="majorHAnsi"/>
          <w:sz w:val="24"/>
          <w:szCs w:val="24"/>
          <w:lang w:eastAsia="en-AU"/>
        </w:rPr>
        <w:t>To ensure, through College recruitment processes</w:t>
      </w:r>
      <w:r w:rsidR="001B06C2" w:rsidRPr="00BD1531">
        <w:rPr>
          <w:rFonts w:asciiTheme="majorHAnsi" w:hAnsiTheme="majorHAnsi"/>
          <w:sz w:val="24"/>
          <w:szCs w:val="24"/>
          <w:lang w:eastAsia="en-AU"/>
        </w:rPr>
        <w:t>, that</w:t>
      </w:r>
      <w:r w:rsidRPr="00BD1531">
        <w:rPr>
          <w:rFonts w:asciiTheme="majorHAnsi" w:hAnsiTheme="majorHAnsi"/>
          <w:sz w:val="24"/>
          <w:szCs w:val="24"/>
          <w:lang w:eastAsia="en-AU"/>
        </w:rPr>
        <w:t xml:space="preserve"> the best available applicants are attracted, recruited, and supported to do their jobs as effectively as possible.</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To ensure </w:t>
      </w:r>
      <w:r w:rsidR="001B06C2" w:rsidRPr="00BD1531">
        <w:rPr>
          <w:rFonts w:asciiTheme="majorHAnsi" w:hAnsiTheme="majorHAnsi"/>
          <w:sz w:val="24"/>
          <w:szCs w:val="24"/>
          <w:lang w:eastAsia="en-AU"/>
        </w:rPr>
        <w:t>Charles La Trobe College</w:t>
      </w:r>
      <w:r w:rsidRPr="00BD1531">
        <w:rPr>
          <w:rFonts w:asciiTheme="majorHAnsi" w:hAnsiTheme="majorHAnsi"/>
          <w:sz w:val="24"/>
          <w:szCs w:val="24"/>
          <w:lang w:eastAsia="en-AU"/>
        </w:rPr>
        <w:t xml:space="preserve"> complies with DET Human Resources Workforce Management policy and guidelines.</w:t>
      </w:r>
    </w:p>
    <w:p w:rsidR="00C225AA" w:rsidRPr="00BD1531" w:rsidRDefault="00C225AA" w:rsidP="00BD1531">
      <w:pPr>
        <w:pStyle w:val="NoSpacing"/>
        <w:numPr>
          <w:ilvl w:val="0"/>
          <w:numId w:val="2"/>
        </w:numPr>
        <w:ind w:left="567" w:right="-46" w:hanging="567"/>
        <w:jc w:val="both"/>
        <w:rPr>
          <w:rFonts w:asciiTheme="majorHAnsi" w:hAnsiTheme="majorHAnsi" w:cs="Arial"/>
          <w:sz w:val="24"/>
          <w:szCs w:val="24"/>
        </w:rPr>
      </w:pPr>
      <w:r w:rsidRPr="00BD1531">
        <w:rPr>
          <w:rFonts w:asciiTheme="majorHAnsi" w:hAnsiTheme="majorHAnsi" w:cs="Arial"/>
          <w:sz w:val="24"/>
          <w:szCs w:val="24"/>
        </w:rPr>
        <w:t xml:space="preserve">To ensure the </w:t>
      </w:r>
      <w:r w:rsidR="00677BA9" w:rsidRPr="00BD1531">
        <w:rPr>
          <w:rFonts w:asciiTheme="majorHAnsi" w:hAnsiTheme="majorHAnsi"/>
          <w:sz w:val="24"/>
          <w:szCs w:val="24"/>
          <w:lang w:eastAsia="en-AU"/>
        </w:rPr>
        <w:t>College</w:t>
      </w:r>
      <w:r w:rsidRPr="00BD1531">
        <w:rPr>
          <w:rFonts w:asciiTheme="majorHAnsi" w:hAnsiTheme="majorHAnsi" w:cs="Arial"/>
          <w:sz w:val="24"/>
          <w:szCs w:val="24"/>
        </w:rPr>
        <w:t xml:space="preserve"> creates a child safe culture consistent with Child Safe Standard 2 (Child Safe Policy) and Standard 4.</w:t>
      </w:r>
    </w:p>
    <w:p w:rsidR="00C225AA" w:rsidRPr="00BD1531" w:rsidRDefault="00C225AA" w:rsidP="00BD1531">
      <w:pPr>
        <w:pStyle w:val="NoSpacing"/>
        <w:ind w:left="567" w:right="-46" w:hanging="567"/>
        <w:jc w:val="both"/>
        <w:rPr>
          <w:rFonts w:asciiTheme="majorHAnsi" w:hAnsiTheme="majorHAnsi"/>
          <w:sz w:val="24"/>
          <w:szCs w:val="24"/>
        </w:rPr>
      </w:pPr>
    </w:p>
    <w:p w:rsidR="00C225AA" w:rsidRPr="00BD1531" w:rsidRDefault="00C225AA" w:rsidP="00BD1531">
      <w:pPr>
        <w:pStyle w:val="NoSpacing"/>
        <w:ind w:right="-46"/>
        <w:jc w:val="both"/>
        <w:rPr>
          <w:rStyle w:val="SubtleReference"/>
        </w:rPr>
      </w:pPr>
      <w:r w:rsidRPr="00BD1531">
        <w:rPr>
          <w:rStyle w:val="SubtleReference"/>
        </w:rPr>
        <w:lastRenderedPageBreak/>
        <w:t>Implementation</w:t>
      </w:r>
    </w:p>
    <w:p w:rsidR="00C225AA" w:rsidRPr="00BD1531" w:rsidRDefault="00C225AA" w:rsidP="00BD1531">
      <w:pPr>
        <w:numPr>
          <w:ilvl w:val="0"/>
          <w:numId w:val="2"/>
        </w:numPr>
        <w:spacing w:after="0" w:line="240" w:lineRule="auto"/>
        <w:ind w:left="567" w:right="-46" w:hanging="567"/>
        <w:jc w:val="both"/>
        <w:rPr>
          <w:rFonts w:asciiTheme="majorHAnsi" w:hAnsiTheme="majorHAnsi"/>
          <w:sz w:val="24"/>
          <w:szCs w:val="24"/>
        </w:rPr>
      </w:pPr>
      <w:r w:rsidRPr="00BD1531">
        <w:rPr>
          <w:rFonts w:asciiTheme="majorHAnsi" w:hAnsiTheme="majorHAnsi"/>
          <w:sz w:val="24"/>
          <w:szCs w:val="24"/>
        </w:rPr>
        <w:t xml:space="preserve">The safety and wellbeing of every young person at the </w:t>
      </w:r>
      <w:r w:rsidR="00677BA9" w:rsidRPr="00BD1531">
        <w:rPr>
          <w:rFonts w:asciiTheme="majorHAnsi" w:hAnsiTheme="majorHAnsi"/>
          <w:sz w:val="24"/>
          <w:szCs w:val="24"/>
          <w:lang w:eastAsia="en-AU"/>
        </w:rPr>
        <w:t>College</w:t>
      </w:r>
      <w:r w:rsidRPr="00BD1531">
        <w:rPr>
          <w:rFonts w:asciiTheme="majorHAnsi" w:hAnsiTheme="majorHAnsi"/>
          <w:sz w:val="24"/>
          <w:szCs w:val="24"/>
        </w:rPr>
        <w:t xml:space="preserve"> is our highest priority.</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The </w:t>
      </w:r>
      <w:r w:rsidR="00677BA9" w:rsidRPr="00BD1531">
        <w:rPr>
          <w:rFonts w:asciiTheme="majorHAnsi" w:hAnsiTheme="majorHAnsi"/>
          <w:sz w:val="24"/>
          <w:szCs w:val="24"/>
          <w:lang w:eastAsia="en-AU"/>
        </w:rPr>
        <w:t xml:space="preserve">College </w:t>
      </w:r>
      <w:r w:rsidRPr="00BD1531">
        <w:rPr>
          <w:rFonts w:asciiTheme="majorHAnsi" w:hAnsiTheme="majorHAnsi"/>
          <w:sz w:val="24"/>
          <w:szCs w:val="24"/>
          <w:lang w:eastAsia="en-AU"/>
        </w:rPr>
        <w:t>will ensure that its recruitment, induction and ongoing professional learning practices are rigorous in line with the Child Safe Standard 4.</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The </w:t>
      </w:r>
      <w:r w:rsidR="00677BA9" w:rsidRPr="00BD1531">
        <w:rPr>
          <w:rFonts w:asciiTheme="majorHAnsi" w:hAnsiTheme="majorHAnsi"/>
          <w:sz w:val="24"/>
          <w:szCs w:val="24"/>
          <w:lang w:eastAsia="en-AU"/>
        </w:rPr>
        <w:t>College</w:t>
      </w:r>
      <w:r w:rsidRPr="00BD1531">
        <w:rPr>
          <w:rFonts w:asciiTheme="majorHAnsi" w:hAnsiTheme="majorHAnsi"/>
          <w:sz w:val="24"/>
          <w:szCs w:val="24"/>
          <w:lang w:eastAsia="en-AU"/>
        </w:rPr>
        <w:t xml:space="preserve"> will ensure that </w:t>
      </w:r>
      <w:proofErr w:type="gramStart"/>
      <w:r w:rsidRPr="00BD1531">
        <w:rPr>
          <w:rFonts w:asciiTheme="majorHAnsi" w:hAnsiTheme="majorHAnsi"/>
          <w:sz w:val="24"/>
          <w:szCs w:val="24"/>
          <w:lang w:eastAsia="en-AU"/>
        </w:rPr>
        <w:t>a number of</w:t>
      </w:r>
      <w:proofErr w:type="gramEnd"/>
      <w:r w:rsidRPr="00BD1531">
        <w:rPr>
          <w:rFonts w:asciiTheme="majorHAnsi" w:hAnsiTheme="majorHAnsi"/>
          <w:sz w:val="24"/>
          <w:szCs w:val="24"/>
          <w:lang w:eastAsia="en-AU"/>
        </w:rPr>
        <w:t xml:space="preserve"> mandatory requirements outlined in legislation, orders made under that legislation, and industrial instruments will be cross referenced where relevant.</w:t>
      </w:r>
    </w:p>
    <w:p w:rsidR="00C225AA" w:rsidRPr="00BD1531" w:rsidRDefault="00C225AA" w:rsidP="00BD1531">
      <w:pPr>
        <w:pStyle w:val="NoSpacing"/>
        <w:numPr>
          <w:ilvl w:val="0"/>
          <w:numId w:val="2"/>
        </w:numPr>
        <w:ind w:left="567" w:right="-46" w:hanging="567"/>
        <w:jc w:val="both"/>
        <w:rPr>
          <w:rFonts w:asciiTheme="majorHAnsi" w:hAnsiTheme="majorHAnsi"/>
          <w:sz w:val="24"/>
          <w:szCs w:val="24"/>
        </w:rPr>
      </w:pPr>
      <w:r w:rsidRPr="00BD1531">
        <w:rPr>
          <w:rFonts w:asciiTheme="majorHAnsi" w:hAnsiTheme="majorHAnsi"/>
          <w:sz w:val="24"/>
          <w:szCs w:val="24"/>
        </w:rPr>
        <w:t xml:space="preserve">The </w:t>
      </w:r>
      <w:r w:rsidR="00677BA9" w:rsidRPr="00BD1531">
        <w:rPr>
          <w:rFonts w:asciiTheme="majorHAnsi" w:hAnsiTheme="majorHAnsi"/>
          <w:sz w:val="24"/>
          <w:szCs w:val="24"/>
          <w:lang w:eastAsia="en-AU"/>
        </w:rPr>
        <w:t>College</w:t>
      </w:r>
      <w:r w:rsidRPr="00BD1531">
        <w:rPr>
          <w:rFonts w:asciiTheme="majorHAnsi" w:hAnsiTheme="majorHAnsi"/>
          <w:sz w:val="24"/>
          <w:szCs w:val="24"/>
        </w:rPr>
        <w:t xml:space="preserve"> will develop selection criteria and advertisements which clearly demonstrate a strong commitment to child safety and an awareness of our social and legislative responsibilities. </w:t>
      </w:r>
    </w:p>
    <w:p w:rsidR="00C225AA" w:rsidRPr="00BD1531" w:rsidRDefault="00C225AA" w:rsidP="00BD1531">
      <w:pPr>
        <w:pStyle w:val="NoSpacing"/>
        <w:numPr>
          <w:ilvl w:val="0"/>
          <w:numId w:val="2"/>
        </w:numPr>
        <w:ind w:left="567" w:right="-46" w:hanging="567"/>
        <w:jc w:val="both"/>
        <w:rPr>
          <w:rFonts w:asciiTheme="majorHAnsi" w:hAnsiTheme="majorHAnsi"/>
          <w:sz w:val="24"/>
          <w:szCs w:val="24"/>
        </w:rPr>
      </w:pPr>
      <w:r w:rsidRPr="00BD1531">
        <w:rPr>
          <w:rFonts w:asciiTheme="majorHAnsi" w:hAnsiTheme="majorHAnsi"/>
          <w:sz w:val="24"/>
          <w:szCs w:val="24"/>
        </w:rPr>
        <w:t xml:space="preserve">The </w:t>
      </w:r>
      <w:r w:rsidR="00677BA9" w:rsidRPr="00BD1531">
        <w:rPr>
          <w:rFonts w:asciiTheme="majorHAnsi" w:hAnsiTheme="majorHAnsi"/>
          <w:sz w:val="24"/>
          <w:szCs w:val="24"/>
          <w:lang w:eastAsia="en-AU"/>
        </w:rPr>
        <w:t>College</w:t>
      </w:r>
      <w:r w:rsidRPr="00BD1531">
        <w:rPr>
          <w:rFonts w:asciiTheme="majorHAnsi" w:hAnsiTheme="majorHAnsi"/>
          <w:sz w:val="24"/>
          <w:szCs w:val="24"/>
        </w:rPr>
        <w:t xml:space="preserve"> will actively encourage applications from Aboriginal peoples, people from culturally and/or linguistically diverse backgrounds and people with a disability. </w:t>
      </w:r>
    </w:p>
    <w:p w:rsidR="00C225AA" w:rsidRPr="00BD1531" w:rsidRDefault="00C225AA" w:rsidP="00BD1531">
      <w:pPr>
        <w:pStyle w:val="NoSpacing"/>
        <w:numPr>
          <w:ilvl w:val="0"/>
          <w:numId w:val="2"/>
        </w:numPr>
        <w:ind w:left="567" w:right="-46" w:hanging="567"/>
        <w:jc w:val="both"/>
        <w:rPr>
          <w:rFonts w:asciiTheme="majorHAnsi" w:hAnsiTheme="majorHAnsi"/>
          <w:sz w:val="24"/>
          <w:szCs w:val="24"/>
        </w:rPr>
      </w:pPr>
      <w:r w:rsidRPr="00BD1531">
        <w:rPr>
          <w:rFonts w:asciiTheme="majorHAnsi" w:hAnsiTheme="majorHAnsi"/>
          <w:sz w:val="24"/>
          <w:szCs w:val="24"/>
        </w:rPr>
        <w:t>All staff must hold or apply for a Working with Children Check and to provide evidence of this Check.  The Principal may request a criminal records check.</w:t>
      </w:r>
    </w:p>
    <w:p w:rsidR="00C225AA" w:rsidRPr="00BD1531" w:rsidRDefault="00677BA9" w:rsidP="00BD1531">
      <w:pPr>
        <w:pStyle w:val="NoSpacing"/>
        <w:numPr>
          <w:ilvl w:val="0"/>
          <w:numId w:val="2"/>
        </w:numPr>
        <w:ind w:left="567"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The College </w:t>
      </w:r>
      <w:r w:rsidR="00C225AA" w:rsidRPr="00BD1531">
        <w:rPr>
          <w:rFonts w:asciiTheme="majorHAnsi" w:hAnsiTheme="majorHAnsi"/>
          <w:sz w:val="24"/>
          <w:szCs w:val="24"/>
          <w:lang w:eastAsia="en-AU"/>
        </w:rPr>
        <w:t xml:space="preserve">will meet the </w:t>
      </w:r>
      <w:hyperlink r:id="rId11" w:history="1">
        <w:r w:rsidR="00C225AA" w:rsidRPr="00BD1531">
          <w:rPr>
            <w:rFonts w:asciiTheme="majorHAnsi" w:hAnsiTheme="majorHAnsi"/>
            <w:bCs/>
            <w:sz w:val="24"/>
            <w:szCs w:val="24"/>
            <w:lang w:eastAsia="en-AU"/>
          </w:rPr>
          <w:t>consultative requirements</w:t>
        </w:r>
      </w:hyperlink>
      <w:r w:rsidR="00C225AA" w:rsidRPr="00BD1531">
        <w:rPr>
          <w:rFonts w:asciiTheme="majorHAnsi" w:hAnsiTheme="majorHAnsi"/>
          <w:sz w:val="24"/>
          <w:szCs w:val="24"/>
          <w:lang w:eastAsia="en-AU"/>
        </w:rPr>
        <w:t xml:space="preserve"> under both the </w:t>
      </w:r>
      <w:hyperlink r:id="rId12" w:history="1">
        <w:r w:rsidR="00C225AA" w:rsidRPr="00BD1531">
          <w:rPr>
            <w:rFonts w:asciiTheme="majorHAnsi" w:hAnsiTheme="majorHAnsi"/>
            <w:bCs/>
            <w:iCs/>
            <w:sz w:val="24"/>
            <w:szCs w:val="24"/>
            <w:lang w:eastAsia="en-AU"/>
          </w:rPr>
          <w:t>Victorian Government Schools Agreement July 2013</w:t>
        </w:r>
      </w:hyperlink>
      <w:r w:rsidR="00C225AA" w:rsidRPr="00BD1531">
        <w:rPr>
          <w:rFonts w:asciiTheme="majorHAnsi" w:hAnsiTheme="majorHAnsi"/>
          <w:sz w:val="24"/>
          <w:szCs w:val="24"/>
          <w:lang w:eastAsia="en-AU"/>
        </w:rPr>
        <w:t xml:space="preserve"> in relation to matters involving the long-term planning and operation of the school including the development of workforce plans and the composition of selection panels.</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val="en-US" w:eastAsia="en-AU"/>
        </w:rPr>
      </w:pPr>
      <w:r w:rsidRPr="00BD1531">
        <w:rPr>
          <w:rFonts w:asciiTheme="majorHAnsi" w:hAnsiTheme="majorHAnsi"/>
          <w:sz w:val="24"/>
          <w:szCs w:val="24"/>
          <w:lang w:val="en-US" w:eastAsia="en-AU"/>
        </w:rPr>
        <w:t>Unless otherwise agreed between the Principal and a teacher, a teacher will be in attendance for a minimum of seven hours daily commencing no less than ten minutes before the morning pupil instructional session.</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val="en-US" w:eastAsia="en-AU"/>
        </w:rPr>
      </w:pPr>
      <w:r w:rsidRPr="00BD1531">
        <w:rPr>
          <w:rFonts w:asciiTheme="majorHAnsi" w:hAnsiTheme="majorHAnsi"/>
          <w:sz w:val="24"/>
          <w:szCs w:val="24"/>
          <w:lang w:val="en-US" w:eastAsia="en-AU"/>
        </w:rPr>
        <w:t xml:space="preserve">Unless otherwise agreed through the consultative arrangements, a schedule of meetings will be drawn up for the school year, using the consultative arrangements, which may require teachers to attend meetings of up to two hours per week in addition to the minimum of seven hours daily attendance, provided that where the meeting is a staff meeting it will be held adjacent to the normal school day and normally will be no longer than one hour.  </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val="en-US" w:eastAsia="en-AU"/>
        </w:rPr>
      </w:pPr>
      <w:r w:rsidRPr="00BD1531">
        <w:rPr>
          <w:rFonts w:asciiTheme="majorHAnsi" w:hAnsiTheme="majorHAnsi"/>
          <w:sz w:val="24"/>
          <w:szCs w:val="24"/>
          <w:lang w:val="en-US" w:eastAsia="en-AU"/>
        </w:rPr>
        <w:t xml:space="preserve">When scheduling meetings and other duties, the Principal will be </w:t>
      </w:r>
      <w:proofErr w:type="spellStart"/>
      <w:r w:rsidRPr="00BD1531">
        <w:rPr>
          <w:rFonts w:asciiTheme="majorHAnsi" w:hAnsiTheme="majorHAnsi"/>
          <w:sz w:val="24"/>
          <w:szCs w:val="24"/>
          <w:lang w:val="en-US" w:eastAsia="en-AU"/>
        </w:rPr>
        <w:t>cognisant</w:t>
      </w:r>
      <w:proofErr w:type="spellEnd"/>
      <w:r w:rsidRPr="00BD1531">
        <w:rPr>
          <w:rFonts w:asciiTheme="majorHAnsi" w:hAnsiTheme="majorHAnsi"/>
          <w:sz w:val="24"/>
          <w:szCs w:val="24"/>
          <w:lang w:val="en-US" w:eastAsia="en-AU"/>
        </w:rPr>
        <w:t xml:space="preserve"> of the workload implications. </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val="en-US" w:eastAsia="en-AU"/>
        </w:rPr>
      </w:pPr>
      <w:r w:rsidRPr="00BD1531">
        <w:rPr>
          <w:rFonts w:asciiTheme="majorHAnsi" w:hAnsiTheme="majorHAnsi"/>
          <w:sz w:val="24"/>
          <w:szCs w:val="24"/>
          <w:lang w:val="en-US" w:eastAsia="en-AU"/>
        </w:rPr>
        <w:t xml:space="preserve">A teacher may be required to carry out other duties for up to one hour in addition to the attendance requirements set out above subject to prior consultation and </w:t>
      </w:r>
      <w:proofErr w:type="gramStart"/>
      <w:r w:rsidRPr="00BD1531">
        <w:rPr>
          <w:rFonts w:asciiTheme="majorHAnsi" w:hAnsiTheme="majorHAnsi"/>
          <w:sz w:val="24"/>
          <w:szCs w:val="24"/>
          <w:lang w:val="en-US" w:eastAsia="en-AU"/>
        </w:rPr>
        <w:t>mutual agreement</w:t>
      </w:r>
      <w:proofErr w:type="gramEnd"/>
      <w:r w:rsidRPr="00BD1531">
        <w:rPr>
          <w:rFonts w:asciiTheme="majorHAnsi" w:hAnsiTheme="majorHAnsi"/>
          <w:sz w:val="24"/>
          <w:szCs w:val="24"/>
          <w:lang w:val="en-US" w:eastAsia="en-AU"/>
        </w:rPr>
        <w:t xml:space="preserve"> as to the time, date and type of duties to be undertaken.</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val="en-US" w:eastAsia="en-AU"/>
        </w:rPr>
      </w:pPr>
      <w:r w:rsidRPr="00BD1531">
        <w:rPr>
          <w:rFonts w:asciiTheme="majorHAnsi" w:hAnsiTheme="majorHAnsi"/>
          <w:sz w:val="24"/>
          <w:szCs w:val="24"/>
          <w:lang w:val="en-US" w:eastAsia="en-AU"/>
        </w:rPr>
        <w:t>Within the daily hours of attendance, a teacher is entitled to a paid lunch period of not less than thirty minutes free from assigned duties.</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val="en-US" w:eastAsia="en-AU"/>
        </w:rPr>
      </w:pPr>
      <w:r w:rsidRPr="00BD1531">
        <w:rPr>
          <w:rFonts w:asciiTheme="majorHAnsi" w:hAnsiTheme="majorHAnsi"/>
          <w:sz w:val="24"/>
          <w:szCs w:val="24"/>
          <w:lang w:val="en-US" w:eastAsia="en-AU"/>
        </w:rPr>
        <w:t xml:space="preserve">An employee may request a flexible work arrangement to assist them to balance their work and life/family commitments.  Requests will be assessed by the Principal on a case-by-case basis </w:t>
      </w:r>
      <w:proofErr w:type="gramStart"/>
      <w:r w:rsidRPr="00BD1531">
        <w:rPr>
          <w:rFonts w:asciiTheme="majorHAnsi" w:hAnsiTheme="majorHAnsi"/>
          <w:sz w:val="24"/>
          <w:szCs w:val="24"/>
          <w:lang w:val="en-US" w:eastAsia="en-AU"/>
        </w:rPr>
        <w:t>taking into account</w:t>
      </w:r>
      <w:proofErr w:type="gramEnd"/>
      <w:r w:rsidRPr="00BD1531">
        <w:rPr>
          <w:rFonts w:asciiTheme="majorHAnsi" w:hAnsiTheme="majorHAnsi"/>
          <w:sz w:val="24"/>
          <w:szCs w:val="24"/>
          <w:lang w:val="en-US" w:eastAsia="en-AU"/>
        </w:rPr>
        <w:t xml:space="preserve"> legislative requirements and the needs of both the employee and the workplace.</w:t>
      </w:r>
    </w:p>
    <w:p w:rsidR="00C225AA" w:rsidRPr="00BD1531" w:rsidRDefault="00C225AA" w:rsidP="00BD1531">
      <w:pPr>
        <w:pStyle w:val="NoSpacing"/>
        <w:numPr>
          <w:ilvl w:val="0"/>
          <w:numId w:val="2"/>
        </w:numPr>
        <w:ind w:left="567" w:right="-46" w:hanging="567"/>
        <w:jc w:val="both"/>
        <w:rPr>
          <w:rFonts w:asciiTheme="majorHAnsi" w:hAnsiTheme="majorHAnsi"/>
          <w:sz w:val="24"/>
          <w:szCs w:val="24"/>
          <w:lang w:eastAsia="en-AU"/>
        </w:rPr>
      </w:pPr>
      <w:r w:rsidRPr="00BD1531">
        <w:rPr>
          <w:rFonts w:asciiTheme="majorHAnsi" w:hAnsiTheme="majorHAnsi"/>
          <w:sz w:val="24"/>
          <w:szCs w:val="24"/>
          <w:lang w:eastAsia="en-AU"/>
        </w:rPr>
        <w:t xml:space="preserve">The </w:t>
      </w:r>
      <w:r w:rsidR="00677BA9" w:rsidRPr="00BD1531">
        <w:rPr>
          <w:rFonts w:asciiTheme="majorHAnsi" w:hAnsiTheme="majorHAnsi"/>
          <w:sz w:val="24"/>
          <w:szCs w:val="24"/>
          <w:lang w:eastAsia="en-AU"/>
        </w:rPr>
        <w:t>College</w:t>
      </w:r>
      <w:r w:rsidRPr="00BD1531">
        <w:rPr>
          <w:rFonts w:asciiTheme="majorHAnsi" w:hAnsiTheme="majorHAnsi"/>
          <w:sz w:val="24"/>
          <w:szCs w:val="24"/>
          <w:lang w:eastAsia="en-AU"/>
        </w:rPr>
        <w:t xml:space="preserve"> will support the induction of new teachers by being explicit about the values and expectations that inform and reflect the behaviours and practices of staff within their school. </w:t>
      </w:r>
    </w:p>
    <w:p w:rsidR="00C225AA" w:rsidRPr="00BD1531" w:rsidRDefault="00C225AA" w:rsidP="00BD1531">
      <w:pPr>
        <w:pStyle w:val="NoSpacing"/>
        <w:numPr>
          <w:ilvl w:val="0"/>
          <w:numId w:val="2"/>
        </w:numPr>
        <w:ind w:left="567" w:right="-46" w:hanging="567"/>
        <w:jc w:val="both"/>
        <w:rPr>
          <w:rFonts w:asciiTheme="majorHAnsi" w:hAnsiTheme="majorHAnsi"/>
          <w:sz w:val="24"/>
          <w:szCs w:val="24"/>
        </w:rPr>
      </w:pPr>
      <w:r w:rsidRPr="00BD1531">
        <w:rPr>
          <w:rFonts w:asciiTheme="majorHAnsi" w:hAnsiTheme="majorHAnsi"/>
          <w:sz w:val="24"/>
          <w:szCs w:val="24"/>
        </w:rPr>
        <w:t xml:space="preserve">Please refer to the </w:t>
      </w:r>
      <w:r w:rsidRPr="00BD1531">
        <w:rPr>
          <w:rFonts w:asciiTheme="majorHAnsi" w:hAnsiTheme="majorHAnsi"/>
          <w:i/>
          <w:sz w:val="24"/>
          <w:szCs w:val="24"/>
        </w:rPr>
        <w:t>Child Safe Policy,</w:t>
      </w:r>
      <w:r w:rsidRPr="00BD1531">
        <w:rPr>
          <w:rFonts w:asciiTheme="majorHAnsi" w:hAnsiTheme="majorHAnsi"/>
          <w:sz w:val="24"/>
          <w:szCs w:val="24"/>
        </w:rPr>
        <w:t xml:space="preserve"> the </w:t>
      </w:r>
      <w:r w:rsidRPr="00BD1531">
        <w:rPr>
          <w:rFonts w:asciiTheme="majorHAnsi" w:hAnsiTheme="majorHAnsi"/>
          <w:i/>
          <w:sz w:val="24"/>
          <w:szCs w:val="24"/>
        </w:rPr>
        <w:t>Working with Children Checks – Staff Policy</w:t>
      </w:r>
      <w:r w:rsidRPr="00BD1531">
        <w:rPr>
          <w:rFonts w:asciiTheme="majorHAnsi" w:hAnsiTheme="majorHAnsi"/>
          <w:sz w:val="24"/>
          <w:szCs w:val="24"/>
        </w:rPr>
        <w:t xml:space="preserve"> and the </w:t>
      </w:r>
      <w:r w:rsidRPr="00BD1531">
        <w:rPr>
          <w:rFonts w:asciiTheme="majorHAnsi" w:hAnsiTheme="majorHAnsi"/>
          <w:i/>
          <w:sz w:val="24"/>
          <w:szCs w:val="24"/>
        </w:rPr>
        <w:t>Staff Code of Conduct Policy</w:t>
      </w:r>
      <w:r w:rsidRPr="00BD1531">
        <w:rPr>
          <w:rFonts w:asciiTheme="majorHAnsi" w:hAnsiTheme="majorHAnsi"/>
          <w:sz w:val="24"/>
          <w:szCs w:val="24"/>
        </w:rPr>
        <w:t xml:space="preserve"> (under development).</w:t>
      </w:r>
    </w:p>
    <w:p w:rsidR="00BD1531" w:rsidRDefault="007D63B6" w:rsidP="00BD1531">
      <w:pPr>
        <w:pStyle w:val="NoSpacing"/>
        <w:ind w:right="-46"/>
        <w:jc w:val="both"/>
        <w:rPr>
          <w:rStyle w:val="SubtleReference"/>
        </w:rPr>
      </w:pPr>
      <w:r w:rsidRPr="00BD1531">
        <w:rPr>
          <w:rStyle w:val="SubtleReference"/>
        </w:rPr>
        <w:lastRenderedPageBreak/>
        <w:t>Evaluation</w:t>
      </w:r>
    </w:p>
    <w:p w:rsidR="007D63B6" w:rsidRPr="00BD1531" w:rsidRDefault="007D63B6" w:rsidP="00BD1531">
      <w:pPr>
        <w:pStyle w:val="NoSpacing"/>
        <w:ind w:right="-46"/>
        <w:jc w:val="both"/>
        <w:rPr>
          <w:rFonts w:asciiTheme="majorHAnsi" w:hAnsiTheme="majorHAnsi"/>
          <w:smallCaps/>
          <w:sz w:val="24"/>
          <w:u w:val="single"/>
        </w:rPr>
      </w:pPr>
      <w:r w:rsidRPr="00BD1531">
        <w:rPr>
          <w:rFonts w:asciiTheme="majorHAnsi" w:hAnsiTheme="majorHAnsi"/>
          <w:sz w:val="24"/>
          <w:szCs w:val="24"/>
        </w:rPr>
        <w:t xml:space="preserve">This policy will be reviewed </w:t>
      </w:r>
      <w:bookmarkStart w:id="0" w:name="_GoBack"/>
      <w:r w:rsidRPr="00BD1531">
        <w:rPr>
          <w:rFonts w:asciiTheme="majorHAnsi" w:hAnsiTheme="majorHAnsi"/>
          <w:b/>
          <w:sz w:val="24"/>
          <w:szCs w:val="24"/>
        </w:rPr>
        <w:t>annually</w:t>
      </w:r>
      <w:bookmarkEnd w:id="0"/>
      <w:r w:rsidRPr="00BD1531">
        <w:rPr>
          <w:rFonts w:asciiTheme="majorHAnsi" w:hAnsiTheme="majorHAnsi"/>
          <w:sz w:val="24"/>
          <w:szCs w:val="24"/>
        </w:rPr>
        <w:t xml:space="preserve"> or if guidelines change (latest DET update early June 2017).</w:t>
      </w:r>
    </w:p>
    <w:p w:rsidR="00BD1531" w:rsidRDefault="00BD1531" w:rsidP="00BD1531">
      <w:pPr>
        <w:pStyle w:val="NoSpacing"/>
        <w:ind w:right="-46"/>
        <w:jc w:val="both"/>
        <w:rPr>
          <w:rStyle w:val="SubtleReference"/>
        </w:rPr>
      </w:pPr>
    </w:p>
    <w:p w:rsidR="00BD1531" w:rsidRDefault="00BD1531" w:rsidP="00BD1531">
      <w:pPr>
        <w:pStyle w:val="NoSpacing"/>
        <w:ind w:right="-46"/>
        <w:jc w:val="both"/>
        <w:rPr>
          <w:rStyle w:val="SubtleReference"/>
        </w:rPr>
      </w:pPr>
      <w:r>
        <w:rPr>
          <w:rStyle w:val="SubtleReference"/>
        </w:rPr>
        <w:t>Ratification</w:t>
      </w:r>
    </w:p>
    <w:p w:rsidR="007D63B6" w:rsidRPr="00BD1531" w:rsidRDefault="007D63B6" w:rsidP="00BD1531">
      <w:pPr>
        <w:tabs>
          <w:tab w:val="left" w:pos="709"/>
        </w:tabs>
        <w:ind w:right="-46"/>
        <w:rPr>
          <w:rFonts w:asciiTheme="majorHAnsi" w:hAnsiTheme="majorHAnsi"/>
          <w:sz w:val="24"/>
          <w:szCs w:val="24"/>
        </w:rPr>
      </w:pPr>
      <w:r w:rsidRPr="00BD1531">
        <w:rPr>
          <w:rFonts w:asciiTheme="majorHAnsi" w:hAnsiTheme="majorHAnsi"/>
          <w:sz w:val="24"/>
          <w:szCs w:val="24"/>
        </w:rPr>
        <w:t xml:space="preserve">This update was ratified by the </w:t>
      </w:r>
      <w:r w:rsidRPr="00BD1531">
        <w:rPr>
          <w:rFonts w:asciiTheme="majorHAnsi" w:hAnsiTheme="majorHAnsi"/>
          <w:sz w:val="24"/>
          <w:szCs w:val="24"/>
          <w:lang w:eastAsia="en-AU"/>
        </w:rPr>
        <w:t>College</w:t>
      </w:r>
      <w:r w:rsidRPr="00BD1531">
        <w:rPr>
          <w:rFonts w:asciiTheme="majorHAnsi" w:hAnsiTheme="majorHAnsi"/>
          <w:sz w:val="24"/>
          <w:szCs w:val="24"/>
        </w:rPr>
        <w:t xml:space="preserve"> Council </w:t>
      </w:r>
      <w:r w:rsidR="00BD1531">
        <w:rPr>
          <w:rFonts w:asciiTheme="majorHAnsi" w:hAnsiTheme="majorHAnsi"/>
          <w:sz w:val="24"/>
          <w:szCs w:val="24"/>
        </w:rPr>
        <w:t>on 15</w:t>
      </w:r>
      <w:r w:rsidR="00BD1531" w:rsidRPr="00BD1531">
        <w:rPr>
          <w:rFonts w:asciiTheme="majorHAnsi" w:hAnsiTheme="majorHAnsi"/>
          <w:sz w:val="24"/>
          <w:szCs w:val="24"/>
          <w:vertAlign w:val="superscript"/>
        </w:rPr>
        <w:t>th</w:t>
      </w:r>
      <w:r w:rsidR="00BD1531">
        <w:rPr>
          <w:rFonts w:asciiTheme="majorHAnsi" w:hAnsiTheme="majorHAnsi"/>
          <w:sz w:val="24"/>
          <w:szCs w:val="24"/>
        </w:rPr>
        <w:t xml:space="preserve"> </w:t>
      </w:r>
      <w:proofErr w:type="gramStart"/>
      <w:r w:rsidR="00BD1531">
        <w:rPr>
          <w:rFonts w:asciiTheme="majorHAnsi" w:hAnsiTheme="majorHAnsi"/>
          <w:sz w:val="24"/>
          <w:szCs w:val="24"/>
        </w:rPr>
        <w:t>February,</w:t>
      </w:r>
      <w:proofErr w:type="gramEnd"/>
      <w:r w:rsidR="00BD1531">
        <w:rPr>
          <w:rFonts w:asciiTheme="majorHAnsi" w:hAnsiTheme="majorHAnsi"/>
          <w:sz w:val="24"/>
          <w:szCs w:val="24"/>
        </w:rPr>
        <w:t xml:space="preserve"> 2018.</w:t>
      </w:r>
    </w:p>
    <w:p w:rsidR="007D63B6" w:rsidRPr="00BD1531" w:rsidRDefault="007D63B6" w:rsidP="00BD1531">
      <w:pPr>
        <w:pStyle w:val="NoSpacing"/>
        <w:ind w:right="-46"/>
        <w:jc w:val="both"/>
        <w:rPr>
          <w:rStyle w:val="SubtleReference"/>
        </w:rPr>
      </w:pPr>
      <w:r w:rsidRPr="00BD1531">
        <w:rPr>
          <w:rStyle w:val="SubtleReference"/>
        </w:rPr>
        <w:t>References:</w:t>
      </w:r>
    </w:p>
    <w:p w:rsidR="007D63B6" w:rsidRPr="00BD1531" w:rsidRDefault="006A6328" w:rsidP="00BD1531">
      <w:pPr>
        <w:tabs>
          <w:tab w:val="left" w:pos="709"/>
        </w:tabs>
        <w:ind w:right="-46"/>
        <w:rPr>
          <w:smallCaps/>
          <w:szCs w:val="24"/>
        </w:rPr>
      </w:pPr>
      <w:hyperlink r:id="rId13" w:history="1">
        <w:r w:rsidR="007D63B6" w:rsidRPr="00BD1531">
          <w:rPr>
            <w:smallCaps/>
            <w:szCs w:val="24"/>
          </w:rPr>
          <w:t>www.education.vic.gov.au/school/principals/spag/hr/pages/hr.aspx</w:t>
        </w:r>
      </w:hyperlink>
    </w:p>
    <w:p w:rsidR="007D63B6" w:rsidRPr="00BD1531" w:rsidRDefault="006A6328" w:rsidP="00BD1531">
      <w:pPr>
        <w:tabs>
          <w:tab w:val="left" w:pos="709"/>
        </w:tabs>
        <w:ind w:right="-46"/>
        <w:rPr>
          <w:rFonts w:asciiTheme="majorHAnsi" w:hAnsiTheme="majorHAnsi"/>
          <w:sz w:val="24"/>
          <w:szCs w:val="24"/>
        </w:rPr>
      </w:pPr>
      <w:hyperlink r:id="rId14" w:history="1">
        <w:r w:rsidR="007D63B6" w:rsidRPr="00BD1531">
          <w:rPr>
            <w:rFonts w:asciiTheme="majorHAnsi" w:hAnsiTheme="majorHAnsi"/>
            <w:sz w:val="24"/>
            <w:szCs w:val="24"/>
          </w:rPr>
          <w:t>www.education.vic.gov.au/hrweb/employcond/Pages/crimcheck.aspx</w:t>
        </w:r>
      </w:hyperlink>
    </w:p>
    <w:p w:rsidR="007D63B6" w:rsidRPr="00BD1531" w:rsidRDefault="006A6328" w:rsidP="00BD1531">
      <w:pPr>
        <w:tabs>
          <w:tab w:val="left" w:pos="709"/>
        </w:tabs>
        <w:ind w:right="-46"/>
        <w:rPr>
          <w:rFonts w:asciiTheme="majorHAnsi" w:hAnsiTheme="majorHAnsi"/>
          <w:sz w:val="24"/>
          <w:szCs w:val="24"/>
        </w:rPr>
      </w:pPr>
      <w:hyperlink r:id="rId15" w:history="1">
        <w:r w:rsidR="007D63B6" w:rsidRPr="00BD1531">
          <w:rPr>
            <w:rFonts w:asciiTheme="majorHAnsi" w:hAnsiTheme="majorHAnsi"/>
            <w:sz w:val="24"/>
            <w:szCs w:val="24"/>
          </w:rPr>
          <w:t>www.education.vic.gov.au/hrweb/employcond/Pages/certagree.aspx</w:t>
        </w:r>
      </w:hyperlink>
    </w:p>
    <w:p w:rsidR="007D63B6" w:rsidRPr="00BD1531" w:rsidRDefault="006A6328" w:rsidP="00BD1531">
      <w:pPr>
        <w:tabs>
          <w:tab w:val="left" w:pos="709"/>
        </w:tabs>
        <w:ind w:right="-46"/>
        <w:rPr>
          <w:rFonts w:asciiTheme="majorHAnsi" w:hAnsiTheme="majorHAnsi"/>
          <w:sz w:val="24"/>
          <w:szCs w:val="24"/>
        </w:rPr>
      </w:pPr>
      <w:hyperlink r:id="rId16" w:history="1">
        <w:r w:rsidR="007D63B6" w:rsidRPr="00BD1531">
          <w:rPr>
            <w:rFonts w:asciiTheme="majorHAnsi" w:hAnsiTheme="majorHAnsi"/>
            <w:sz w:val="24"/>
            <w:szCs w:val="24"/>
          </w:rPr>
          <w:t>www.education.vic.gov.au/hrweb/employcond/Pages/conduct.aspx</w:t>
        </w:r>
      </w:hyperlink>
    </w:p>
    <w:p w:rsidR="007D63B6" w:rsidRPr="00BD1531" w:rsidRDefault="006A6328" w:rsidP="00BD1531">
      <w:pPr>
        <w:tabs>
          <w:tab w:val="left" w:pos="709"/>
        </w:tabs>
        <w:ind w:right="-46"/>
        <w:rPr>
          <w:rFonts w:asciiTheme="majorHAnsi" w:hAnsiTheme="majorHAnsi"/>
          <w:sz w:val="24"/>
          <w:szCs w:val="24"/>
        </w:rPr>
      </w:pPr>
      <w:hyperlink r:id="rId17" w:history="1">
        <w:r w:rsidR="007D63B6" w:rsidRPr="00BD1531">
          <w:rPr>
            <w:rFonts w:asciiTheme="majorHAnsi" w:hAnsiTheme="majorHAnsi"/>
            <w:sz w:val="24"/>
            <w:szCs w:val="24"/>
          </w:rPr>
          <w:t>www.education.vic.gov.au/hrweb/employcond/Pages/legislat.aspx</w:t>
        </w:r>
      </w:hyperlink>
    </w:p>
    <w:p w:rsidR="007D63B6" w:rsidRPr="00BD1531" w:rsidRDefault="007D63B6" w:rsidP="00BD1531">
      <w:pPr>
        <w:tabs>
          <w:tab w:val="left" w:pos="709"/>
        </w:tabs>
        <w:ind w:right="-46"/>
        <w:rPr>
          <w:rFonts w:asciiTheme="majorHAnsi" w:hAnsiTheme="majorHAnsi"/>
          <w:sz w:val="24"/>
          <w:szCs w:val="24"/>
        </w:rPr>
      </w:pPr>
      <w:r w:rsidRPr="00BD1531">
        <w:rPr>
          <w:rFonts w:asciiTheme="majorHAnsi" w:hAnsiTheme="majorHAnsi"/>
          <w:sz w:val="24"/>
          <w:szCs w:val="24"/>
        </w:rPr>
        <w:t>Suitability for Employment Policy (Manual) 30 May 2017</w:t>
      </w:r>
    </w:p>
    <w:p w:rsidR="00365E49" w:rsidRPr="00BD1531" w:rsidRDefault="007D63B6" w:rsidP="00BD1531">
      <w:pPr>
        <w:tabs>
          <w:tab w:val="left" w:pos="709"/>
        </w:tabs>
        <w:ind w:right="-46"/>
        <w:rPr>
          <w:rFonts w:asciiTheme="majorHAnsi" w:hAnsiTheme="majorHAnsi"/>
          <w:sz w:val="24"/>
          <w:szCs w:val="24"/>
        </w:rPr>
      </w:pPr>
      <w:r w:rsidRPr="00BD1531">
        <w:rPr>
          <w:rFonts w:asciiTheme="majorHAnsi" w:hAnsiTheme="majorHAnsi"/>
          <w:sz w:val="24"/>
          <w:szCs w:val="24"/>
        </w:rPr>
        <w:t>Recruitment in Schools Guide 01 June 2017</w:t>
      </w:r>
    </w:p>
    <w:sectPr w:rsidR="00365E49" w:rsidRPr="00BD1531" w:rsidSect="002A65A6">
      <w:headerReference w:type="default" r:id="rId18"/>
      <w:footerReference w:type="default" r:id="rId19"/>
      <w:pgSz w:w="11906" w:h="16838"/>
      <w:pgMar w:top="1440"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328" w:rsidRDefault="006A6328" w:rsidP="00B045F0">
      <w:pPr>
        <w:spacing w:after="0" w:line="240" w:lineRule="auto"/>
      </w:pPr>
      <w:r>
        <w:separator/>
      </w:r>
    </w:p>
  </w:endnote>
  <w:endnote w:type="continuationSeparator" w:id="0">
    <w:p w:rsidR="006A6328" w:rsidRDefault="006A6328" w:rsidP="00B0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766489"/>
      <w:docPartObj>
        <w:docPartGallery w:val="Page Numbers (Bottom of Page)"/>
        <w:docPartUnique/>
      </w:docPartObj>
    </w:sdtPr>
    <w:sdtEndPr>
      <w:rPr>
        <w:noProof/>
      </w:rPr>
    </w:sdtEndPr>
    <w:sdtContent>
      <w:p w:rsidR="00D927C9" w:rsidRDefault="00D927C9">
        <w:pPr>
          <w:pStyle w:val="Footer"/>
          <w:jc w:val="center"/>
        </w:pPr>
        <w:r>
          <w:fldChar w:fldCharType="begin"/>
        </w:r>
        <w:r>
          <w:instrText xml:space="preserve"> PAGE   \* MERGEFORMAT </w:instrText>
        </w:r>
        <w:r>
          <w:fldChar w:fldCharType="separate"/>
        </w:r>
        <w:r w:rsidR="00BD1531">
          <w:rPr>
            <w:noProof/>
          </w:rPr>
          <w:t>3</w:t>
        </w:r>
        <w:r>
          <w:rPr>
            <w:noProof/>
          </w:rPr>
          <w:fldChar w:fldCharType="end"/>
        </w:r>
      </w:p>
    </w:sdtContent>
  </w:sdt>
  <w:p w:rsidR="00D927C9" w:rsidRDefault="00D92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328" w:rsidRDefault="006A6328" w:rsidP="00B045F0">
      <w:pPr>
        <w:spacing w:after="0" w:line="240" w:lineRule="auto"/>
      </w:pPr>
      <w:r>
        <w:separator/>
      </w:r>
    </w:p>
  </w:footnote>
  <w:footnote w:type="continuationSeparator" w:id="0">
    <w:p w:rsidR="006A6328" w:rsidRDefault="006A6328" w:rsidP="00B04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522"/>
      <w:gridCol w:w="2494"/>
    </w:tblGrid>
    <w:tr w:rsidR="002A65A6" w:rsidTr="002A65A6">
      <w:trPr>
        <w:trHeight w:val="1691"/>
      </w:trPr>
      <w:tc>
        <w:tcPr>
          <w:tcW w:w="6912" w:type="dxa"/>
          <w:vAlign w:val="center"/>
        </w:tcPr>
        <w:p w:rsidR="002A65A6" w:rsidRPr="002A65A6" w:rsidRDefault="002A65A6" w:rsidP="002A65A6">
          <w:pPr>
            <w:pStyle w:val="Title"/>
            <w:rPr>
              <w:b w:val="0"/>
            </w:rPr>
          </w:pPr>
          <w:r w:rsidRPr="002A65A6">
            <w:rPr>
              <w:b w:val="0"/>
              <w:sz w:val="32"/>
            </w:rPr>
            <w:t>EMPLOYMENT POLICY</w:t>
          </w:r>
        </w:p>
      </w:tc>
      <w:tc>
        <w:tcPr>
          <w:tcW w:w="2694" w:type="dxa"/>
        </w:tcPr>
        <w:p w:rsidR="002A65A6" w:rsidRDefault="002A65A6" w:rsidP="002A65A6">
          <w:pPr>
            <w:pStyle w:val="Title"/>
            <w:jc w:val="right"/>
          </w:pPr>
          <w:r>
            <w:rPr>
              <w:noProof/>
            </w:rPr>
            <w:drawing>
              <wp:anchor distT="0" distB="0" distL="114300" distR="114300" simplePos="0" relativeHeight="251659264" behindDoc="0" locked="0" layoutInCell="1" allowOverlap="1" wp14:anchorId="75957913" wp14:editId="0252B695">
                <wp:simplePos x="0" y="0"/>
                <wp:positionH relativeFrom="column">
                  <wp:posOffset>324485</wp:posOffset>
                </wp:positionH>
                <wp:positionV relativeFrom="paragraph">
                  <wp:posOffset>59055</wp:posOffset>
                </wp:positionV>
                <wp:extent cx="908322" cy="9525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B045F0" w:rsidRDefault="00B04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729F7"/>
    <w:multiLevelType w:val="hybridMultilevel"/>
    <w:tmpl w:val="5C92C12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6970BE"/>
    <w:multiLevelType w:val="hybridMultilevel"/>
    <w:tmpl w:val="84F2964E"/>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F40263"/>
    <w:multiLevelType w:val="hybridMultilevel"/>
    <w:tmpl w:val="D5607F6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2D7795F"/>
    <w:multiLevelType w:val="hybridMultilevel"/>
    <w:tmpl w:val="575E31AE"/>
    <w:lvl w:ilvl="0" w:tplc="E9A63CAE">
      <w:numFmt w:val="bullet"/>
      <w:lvlText w:val="─"/>
      <w:lvlJc w:val="left"/>
      <w:pPr>
        <w:ind w:left="1571" w:hanging="360"/>
      </w:pPr>
      <w:rPr>
        <w:rFonts w:ascii="Calibri Light" w:eastAsiaTheme="minorHAnsi" w:hAnsi="Calibri Light" w:cstheme="minorBidi"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478E6"/>
    <w:rsid w:val="00091DD9"/>
    <w:rsid w:val="000B7115"/>
    <w:rsid w:val="00135515"/>
    <w:rsid w:val="001B06C2"/>
    <w:rsid w:val="001D6C99"/>
    <w:rsid w:val="00215953"/>
    <w:rsid w:val="0027371E"/>
    <w:rsid w:val="002A65A6"/>
    <w:rsid w:val="002C7F9C"/>
    <w:rsid w:val="00365E49"/>
    <w:rsid w:val="003C0605"/>
    <w:rsid w:val="003D6325"/>
    <w:rsid w:val="004936BB"/>
    <w:rsid w:val="004A0B5D"/>
    <w:rsid w:val="00530D9A"/>
    <w:rsid w:val="005E3B6A"/>
    <w:rsid w:val="005F6A0A"/>
    <w:rsid w:val="006342C1"/>
    <w:rsid w:val="00677BA9"/>
    <w:rsid w:val="00697282"/>
    <w:rsid w:val="006A6328"/>
    <w:rsid w:val="007A3168"/>
    <w:rsid w:val="007C35C5"/>
    <w:rsid w:val="007D63B6"/>
    <w:rsid w:val="007F3AC9"/>
    <w:rsid w:val="008001EE"/>
    <w:rsid w:val="00812C0D"/>
    <w:rsid w:val="00912DA4"/>
    <w:rsid w:val="00913256"/>
    <w:rsid w:val="00992440"/>
    <w:rsid w:val="00A97010"/>
    <w:rsid w:val="00B045F0"/>
    <w:rsid w:val="00BC247F"/>
    <w:rsid w:val="00BD1531"/>
    <w:rsid w:val="00BE2EA6"/>
    <w:rsid w:val="00BF7F5B"/>
    <w:rsid w:val="00C225AA"/>
    <w:rsid w:val="00C2664C"/>
    <w:rsid w:val="00C90564"/>
    <w:rsid w:val="00D564A3"/>
    <w:rsid w:val="00D927C9"/>
    <w:rsid w:val="00DA7915"/>
    <w:rsid w:val="00DC79AA"/>
    <w:rsid w:val="00DD0BCB"/>
    <w:rsid w:val="00E570A2"/>
    <w:rsid w:val="00F405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CB1A7"/>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link w:val="NoSpacingChar"/>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customStyle="1" w:styleId="NoSpacingChar">
    <w:name w:val="No Spacing Char"/>
    <w:link w:val="NoSpacing"/>
    <w:uiPriority w:val="1"/>
    <w:locked/>
    <w:rsid w:val="007D63B6"/>
  </w:style>
  <w:style w:type="paragraph" w:styleId="Footer">
    <w:name w:val="footer"/>
    <w:basedOn w:val="Normal"/>
    <w:link w:val="FooterChar"/>
    <w:uiPriority w:val="99"/>
    <w:unhideWhenUsed/>
    <w:rsid w:val="00B04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5F0"/>
  </w:style>
  <w:style w:type="paragraph" w:styleId="Title">
    <w:name w:val="Title"/>
    <w:basedOn w:val="Normal"/>
    <w:link w:val="TitleChar"/>
    <w:qFormat/>
    <w:rsid w:val="00B045F0"/>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B045F0"/>
    <w:rPr>
      <w:rFonts w:asciiTheme="majorHAnsi" w:eastAsia="Times New Roman" w:hAnsiTheme="majorHAnsi" w:cs="Times New Roman"/>
      <w:b/>
      <w:caps/>
      <w:sz w:val="28"/>
      <w:szCs w:val="24"/>
    </w:rPr>
  </w:style>
  <w:style w:type="table" w:styleId="TableGrid">
    <w:name w:val="Table Grid"/>
    <w:basedOn w:val="TableNormal"/>
    <w:rsid w:val="00B045F0"/>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B045F0"/>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47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vic.gov.au/school/principals/spag/hr/pages/hr.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ducation.vic.gov.au/hrweb/employcond/res/certagreeTS.htm" TargetMode="External"/><Relationship Id="rId17" Type="http://schemas.openxmlformats.org/officeDocument/2006/relationships/hyperlink" Target="http://www.education.vic.gov.au/hrweb/employcond/Pages/legislat.aspx" TargetMode="External"/><Relationship Id="rId2" Type="http://schemas.openxmlformats.org/officeDocument/2006/relationships/customXml" Target="../customXml/item2.xml"/><Relationship Id="rId16" Type="http://schemas.openxmlformats.org/officeDocument/2006/relationships/hyperlink" Target="http://www.education.vic.gov.au/hrweb/employcond/Pages/conduc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hrweb/workm/plan/consultTS.htm" TargetMode="External"/><Relationship Id="rId5" Type="http://schemas.openxmlformats.org/officeDocument/2006/relationships/styles" Target="styles.xml"/><Relationship Id="rId15" Type="http://schemas.openxmlformats.org/officeDocument/2006/relationships/hyperlink" Target="http://www.education.vic.gov.au/hrweb/employcond/Pages/certagree.aspx" TargetMode="External"/><Relationship Id="rId10" Type="http://schemas.openxmlformats.org/officeDocument/2006/relationships/hyperlink" Target="http://www.vit.vic.edu.au/Pages/default.asp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vic.gov.au/hrweb/employcond/Pages/crimcheck.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C8E6A-F4A3-434D-8F29-C504A5639FF0}">
  <ds:schemaRefs>
    <ds:schemaRef ds:uri="http://schemas.microsoft.com/sharepoint/v3/contenttype/forms"/>
  </ds:schemaRefs>
</ds:datastoreItem>
</file>

<file path=customXml/itemProps2.xml><?xml version="1.0" encoding="utf-8"?>
<ds:datastoreItem xmlns:ds="http://schemas.openxmlformats.org/officeDocument/2006/customXml" ds:itemID="{36572859-6921-4243-AC55-E5BB0AF3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8EB66-0687-48DB-9C41-F06E88A4C8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7</cp:revision>
  <dcterms:created xsi:type="dcterms:W3CDTF">2017-06-13T05:48:00Z</dcterms:created>
  <dcterms:modified xsi:type="dcterms:W3CDTF">2017-12-31T05:46:00Z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