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8D2" w:rsidRPr="007224B2" w:rsidRDefault="005978D2" w:rsidP="003438D3">
      <w:pPr>
        <w:pStyle w:val="NoSpacing"/>
        <w:ind w:left="142" w:right="-330" w:hanging="426"/>
        <w:jc w:val="both"/>
        <w:rPr>
          <w:rStyle w:val="SubtleReference"/>
        </w:rPr>
      </w:pPr>
      <w:r w:rsidRPr="007224B2">
        <w:rPr>
          <w:rStyle w:val="SubtleReference"/>
        </w:rPr>
        <w:t>Rationale</w:t>
      </w:r>
    </w:p>
    <w:p w:rsidR="005978D2" w:rsidRPr="007224B2" w:rsidRDefault="005978D2" w:rsidP="003438D3">
      <w:pPr>
        <w:pStyle w:val="NoSpacing"/>
        <w:numPr>
          <w:ilvl w:val="0"/>
          <w:numId w:val="23"/>
        </w:numPr>
        <w:ind w:left="142" w:right="-330" w:hanging="426"/>
        <w:jc w:val="both"/>
        <w:rPr>
          <w:rFonts w:asciiTheme="majorHAnsi" w:hAnsiTheme="majorHAnsi"/>
          <w:sz w:val="24"/>
          <w:szCs w:val="21"/>
          <w:lang w:val="en-US" w:eastAsia="en-AU"/>
        </w:rPr>
      </w:pPr>
      <w:r w:rsidRPr="007224B2">
        <w:rPr>
          <w:rFonts w:asciiTheme="majorHAnsi" w:hAnsiTheme="majorHAnsi"/>
          <w:sz w:val="24"/>
          <w:szCs w:val="21"/>
          <w:lang w:val="en-US" w:eastAsia="en-AU"/>
        </w:rPr>
        <w:t xml:space="preserve">School drug education aims to prevent harmful drug use, illicit drug use, inappropriate alcohol consumption and solvent use.  </w:t>
      </w:r>
    </w:p>
    <w:p w:rsidR="005978D2" w:rsidRPr="007224B2" w:rsidRDefault="005978D2" w:rsidP="003438D3">
      <w:pPr>
        <w:pStyle w:val="NoSpacing"/>
        <w:numPr>
          <w:ilvl w:val="0"/>
          <w:numId w:val="23"/>
        </w:numPr>
        <w:ind w:left="142" w:right="-330" w:hanging="426"/>
        <w:jc w:val="both"/>
        <w:rPr>
          <w:rFonts w:asciiTheme="majorHAnsi" w:hAnsiTheme="majorHAnsi"/>
          <w:sz w:val="24"/>
          <w:szCs w:val="21"/>
          <w:lang w:val="en-US" w:eastAsia="en-AU"/>
        </w:rPr>
      </w:pPr>
      <w:r w:rsidRPr="007224B2">
        <w:rPr>
          <w:rFonts w:asciiTheme="majorHAnsi" w:hAnsiTheme="majorHAnsi"/>
          <w:sz w:val="24"/>
          <w:szCs w:val="21"/>
          <w:lang w:val="en-US" w:eastAsia="en-AU"/>
        </w:rPr>
        <w:t xml:space="preserve">School drug education </w:t>
      </w:r>
      <w:proofErr w:type="spellStart"/>
      <w:r w:rsidRPr="007224B2">
        <w:rPr>
          <w:rFonts w:asciiTheme="majorHAnsi" w:hAnsiTheme="majorHAnsi"/>
          <w:sz w:val="24"/>
          <w:szCs w:val="21"/>
          <w:lang w:val="en-US" w:eastAsia="en-AU"/>
        </w:rPr>
        <w:t>utilises</w:t>
      </w:r>
      <w:proofErr w:type="spellEnd"/>
      <w:r w:rsidRPr="007224B2">
        <w:rPr>
          <w:rFonts w:asciiTheme="majorHAnsi" w:hAnsiTheme="majorHAnsi"/>
          <w:sz w:val="24"/>
          <w:szCs w:val="21"/>
          <w:lang w:val="en-US" w:eastAsia="en-AU"/>
        </w:rPr>
        <w:t xml:space="preserve"> a whole school approach to health promotion, prevention and early intervention to</w:t>
      </w:r>
      <w:r w:rsidR="00422BDD" w:rsidRPr="007224B2">
        <w:rPr>
          <w:rFonts w:asciiTheme="majorHAnsi" w:hAnsiTheme="majorHAnsi"/>
          <w:sz w:val="24"/>
          <w:szCs w:val="21"/>
          <w:lang w:val="en-US" w:eastAsia="en-AU"/>
        </w:rPr>
        <w:t xml:space="preserve"> </w:t>
      </w:r>
      <w:r w:rsidRPr="007224B2">
        <w:rPr>
          <w:rFonts w:asciiTheme="majorHAnsi" w:hAnsiTheme="majorHAnsi"/>
          <w:sz w:val="24"/>
          <w:szCs w:val="21"/>
          <w:lang w:val="en-US" w:eastAsia="en-AU"/>
        </w:rPr>
        <w:t>t</w:t>
      </w:r>
      <w:r w:rsidR="00422BDD" w:rsidRPr="007224B2">
        <w:rPr>
          <w:rFonts w:asciiTheme="majorHAnsi" w:hAnsiTheme="majorHAnsi"/>
          <w:sz w:val="24"/>
          <w:szCs w:val="21"/>
          <w:lang w:val="en-US" w:eastAsia="en-AU"/>
        </w:rPr>
        <w:t>he</w:t>
      </w:r>
      <w:r w:rsidRPr="007224B2">
        <w:rPr>
          <w:rFonts w:asciiTheme="majorHAnsi" w:hAnsiTheme="majorHAnsi"/>
          <w:sz w:val="24"/>
          <w:szCs w:val="21"/>
          <w:lang w:val="en-US" w:eastAsia="en-AU"/>
        </w:rPr>
        <w:t xml:space="preserve"> wellbeing and engagement</w:t>
      </w:r>
      <w:r w:rsidR="00422BDD" w:rsidRPr="007224B2">
        <w:rPr>
          <w:rFonts w:asciiTheme="majorHAnsi" w:hAnsiTheme="majorHAnsi"/>
          <w:sz w:val="24"/>
          <w:szCs w:val="21"/>
          <w:lang w:val="en-US" w:eastAsia="en-AU"/>
        </w:rPr>
        <w:t xml:space="preserve"> of children</w:t>
      </w:r>
      <w:r w:rsidRPr="007224B2">
        <w:rPr>
          <w:rFonts w:asciiTheme="majorHAnsi" w:hAnsiTheme="majorHAnsi"/>
          <w:sz w:val="24"/>
          <w:szCs w:val="21"/>
          <w:lang w:val="en-US" w:eastAsia="en-AU"/>
        </w:rPr>
        <w:t xml:space="preserve">, based on the principles of harm </w:t>
      </w:r>
      <w:proofErr w:type="spellStart"/>
      <w:r w:rsidRPr="007224B2">
        <w:rPr>
          <w:rFonts w:asciiTheme="majorHAnsi" w:hAnsiTheme="majorHAnsi"/>
          <w:sz w:val="24"/>
          <w:szCs w:val="21"/>
          <w:lang w:val="en-US" w:eastAsia="en-AU"/>
        </w:rPr>
        <w:t>minimisation</w:t>
      </w:r>
      <w:proofErr w:type="spellEnd"/>
      <w:r w:rsidRPr="007224B2">
        <w:rPr>
          <w:rFonts w:asciiTheme="majorHAnsi" w:hAnsiTheme="majorHAnsi"/>
          <w:sz w:val="24"/>
          <w:szCs w:val="21"/>
          <w:lang w:val="en-US" w:eastAsia="en-AU"/>
        </w:rPr>
        <w:t xml:space="preserve">. It aims to promote resilience, and build on knowledge, skills and </w:t>
      </w:r>
      <w:proofErr w:type="spellStart"/>
      <w:r w:rsidRPr="007224B2">
        <w:rPr>
          <w:rFonts w:asciiTheme="majorHAnsi" w:hAnsiTheme="majorHAnsi"/>
          <w:sz w:val="24"/>
          <w:szCs w:val="21"/>
          <w:lang w:val="en-US" w:eastAsia="en-AU"/>
        </w:rPr>
        <w:t>behaviours</w:t>
      </w:r>
      <w:proofErr w:type="spellEnd"/>
      <w:r w:rsidRPr="007224B2">
        <w:rPr>
          <w:rFonts w:asciiTheme="majorHAnsi" w:hAnsiTheme="majorHAnsi"/>
          <w:sz w:val="24"/>
          <w:szCs w:val="21"/>
          <w:lang w:val="en-US" w:eastAsia="en-AU"/>
        </w:rPr>
        <w:t xml:space="preserve"> to enable </w:t>
      </w:r>
      <w:r w:rsidR="00F36B41" w:rsidRPr="007224B2">
        <w:rPr>
          <w:rFonts w:asciiTheme="majorHAnsi" w:hAnsiTheme="majorHAnsi"/>
          <w:sz w:val="24"/>
          <w:szCs w:val="21"/>
          <w:lang w:val="en-US" w:eastAsia="en-AU"/>
        </w:rPr>
        <w:t>children</w:t>
      </w:r>
      <w:r w:rsidRPr="007224B2">
        <w:rPr>
          <w:rFonts w:asciiTheme="majorHAnsi" w:hAnsiTheme="majorHAnsi"/>
          <w:sz w:val="24"/>
          <w:szCs w:val="21"/>
          <w:lang w:val="en-US" w:eastAsia="en-AU"/>
        </w:rPr>
        <w:t xml:space="preserve"> to make responsible, healthy and safe choices.  It encompasses all policies, practices, programs and initiatives connected with prevention and reduction of drug-related harm, and the building of resilience in individuals and school communities. </w:t>
      </w:r>
    </w:p>
    <w:p w:rsidR="005978D2" w:rsidRPr="007224B2" w:rsidRDefault="005978D2" w:rsidP="003438D3">
      <w:pPr>
        <w:pStyle w:val="NoSpacing"/>
        <w:numPr>
          <w:ilvl w:val="0"/>
          <w:numId w:val="23"/>
        </w:numPr>
        <w:ind w:left="142" w:right="-330" w:hanging="426"/>
        <w:jc w:val="both"/>
        <w:rPr>
          <w:rFonts w:asciiTheme="majorHAnsi" w:hAnsiTheme="majorHAnsi"/>
          <w:sz w:val="24"/>
          <w:szCs w:val="21"/>
          <w:lang w:val="en-US" w:eastAsia="en-AU"/>
        </w:rPr>
      </w:pPr>
      <w:r w:rsidRPr="007224B2">
        <w:rPr>
          <w:rFonts w:asciiTheme="majorHAnsi" w:hAnsiTheme="majorHAnsi"/>
          <w:sz w:val="24"/>
          <w:szCs w:val="21"/>
          <w:lang w:val="en-US" w:eastAsia="en-AU"/>
        </w:rPr>
        <w:t xml:space="preserve">Schools should implement relevant and comprehensive drug education for all </w:t>
      </w:r>
      <w:r w:rsidR="00422BDD" w:rsidRPr="007224B2">
        <w:rPr>
          <w:rFonts w:asciiTheme="majorHAnsi" w:hAnsiTheme="majorHAnsi"/>
          <w:sz w:val="24"/>
          <w:szCs w:val="21"/>
          <w:lang w:val="en-US" w:eastAsia="en-AU"/>
        </w:rPr>
        <w:t>children</w:t>
      </w:r>
      <w:r w:rsidRPr="007224B2">
        <w:rPr>
          <w:rFonts w:asciiTheme="majorHAnsi" w:hAnsiTheme="majorHAnsi"/>
          <w:sz w:val="24"/>
          <w:szCs w:val="21"/>
          <w:lang w:val="en-US" w:eastAsia="en-AU"/>
        </w:rPr>
        <w:t xml:space="preserve"> as an ongoing core component of the curriculum. </w:t>
      </w:r>
    </w:p>
    <w:p w:rsidR="005978D2" w:rsidRPr="007224B2" w:rsidRDefault="005978D2" w:rsidP="003438D3">
      <w:pPr>
        <w:pStyle w:val="NoSpacing"/>
        <w:ind w:left="142" w:right="-330" w:hanging="426"/>
        <w:jc w:val="both"/>
        <w:rPr>
          <w:rStyle w:val="SubtleReference"/>
        </w:rPr>
      </w:pPr>
    </w:p>
    <w:p w:rsidR="005978D2" w:rsidRPr="007224B2" w:rsidRDefault="005978D2" w:rsidP="003438D3">
      <w:pPr>
        <w:pStyle w:val="NoSpacing"/>
        <w:ind w:left="142" w:right="-330" w:hanging="426"/>
        <w:jc w:val="both"/>
        <w:rPr>
          <w:rStyle w:val="SubtleReference"/>
        </w:rPr>
      </w:pPr>
      <w:r w:rsidRPr="007224B2">
        <w:rPr>
          <w:rStyle w:val="SubtleReference"/>
        </w:rPr>
        <w:t>Purpose</w:t>
      </w:r>
    </w:p>
    <w:p w:rsidR="005978D2" w:rsidRPr="007224B2" w:rsidRDefault="005978D2" w:rsidP="003438D3">
      <w:pPr>
        <w:pStyle w:val="NoSpacing"/>
        <w:numPr>
          <w:ilvl w:val="0"/>
          <w:numId w:val="24"/>
        </w:numPr>
        <w:ind w:left="142" w:right="-330" w:hanging="426"/>
        <w:jc w:val="both"/>
        <w:rPr>
          <w:rFonts w:asciiTheme="majorHAnsi" w:hAnsiTheme="majorHAnsi"/>
          <w:sz w:val="24"/>
          <w:szCs w:val="21"/>
          <w:lang w:val="en-US" w:eastAsia="en-AU"/>
        </w:rPr>
      </w:pPr>
      <w:r w:rsidRPr="007224B2">
        <w:rPr>
          <w:rFonts w:asciiTheme="majorHAnsi" w:hAnsiTheme="majorHAnsi"/>
          <w:sz w:val="24"/>
          <w:szCs w:val="21"/>
          <w:lang w:val="en-US" w:eastAsia="en-AU"/>
        </w:rPr>
        <w:t>To support a whole school approach to reducing drug use and associated harm.</w:t>
      </w:r>
    </w:p>
    <w:p w:rsidR="005978D2" w:rsidRPr="007224B2" w:rsidRDefault="005978D2" w:rsidP="003438D3">
      <w:pPr>
        <w:pStyle w:val="NoSpacing"/>
        <w:numPr>
          <w:ilvl w:val="0"/>
          <w:numId w:val="24"/>
        </w:numPr>
        <w:ind w:left="142" w:right="-330" w:hanging="426"/>
        <w:jc w:val="both"/>
        <w:rPr>
          <w:rFonts w:asciiTheme="majorHAnsi" w:hAnsiTheme="majorHAnsi"/>
          <w:sz w:val="24"/>
          <w:szCs w:val="21"/>
          <w:lang w:val="en-US" w:eastAsia="en-AU"/>
        </w:rPr>
      </w:pPr>
      <w:r w:rsidRPr="007224B2">
        <w:rPr>
          <w:rFonts w:asciiTheme="majorHAnsi" w:hAnsiTheme="majorHAnsi"/>
          <w:sz w:val="24"/>
          <w:szCs w:val="21"/>
          <w:lang w:val="en-US" w:eastAsia="en-AU"/>
        </w:rPr>
        <w:t xml:space="preserve">To provide support for </w:t>
      </w:r>
      <w:r w:rsidR="00422BDD" w:rsidRPr="007224B2">
        <w:rPr>
          <w:rFonts w:asciiTheme="majorHAnsi" w:hAnsiTheme="majorHAnsi"/>
          <w:sz w:val="24"/>
          <w:szCs w:val="21"/>
          <w:lang w:val="en-US" w:eastAsia="en-AU"/>
        </w:rPr>
        <w:t>children</w:t>
      </w:r>
      <w:r w:rsidRPr="007224B2">
        <w:rPr>
          <w:rFonts w:asciiTheme="majorHAnsi" w:hAnsiTheme="majorHAnsi"/>
          <w:sz w:val="24"/>
          <w:szCs w:val="21"/>
          <w:lang w:val="en-US" w:eastAsia="en-AU"/>
        </w:rPr>
        <w:t xml:space="preserve"> involved in unsanctioned drug use.</w:t>
      </w:r>
    </w:p>
    <w:p w:rsidR="005978D2" w:rsidRPr="007224B2" w:rsidRDefault="005978D2" w:rsidP="003438D3">
      <w:pPr>
        <w:pStyle w:val="NoSpacing"/>
        <w:numPr>
          <w:ilvl w:val="0"/>
          <w:numId w:val="24"/>
        </w:numPr>
        <w:ind w:left="142" w:right="-330" w:hanging="426"/>
        <w:jc w:val="both"/>
        <w:rPr>
          <w:rFonts w:asciiTheme="majorHAnsi" w:hAnsiTheme="majorHAnsi"/>
          <w:bCs/>
          <w:sz w:val="24"/>
          <w:szCs w:val="21"/>
        </w:rPr>
      </w:pPr>
      <w:r w:rsidRPr="007224B2">
        <w:rPr>
          <w:rFonts w:asciiTheme="majorHAnsi" w:hAnsiTheme="majorHAnsi"/>
          <w:bCs/>
          <w:sz w:val="24"/>
          <w:szCs w:val="21"/>
        </w:rPr>
        <w:t xml:space="preserve">To ensure </w:t>
      </w:r>
      <w:r w:rsidR="00277999" w:rsidRPr="007224B2">
        <w:rPr>
          <w:rFonts w:asciiTheme="majorHAnsi" w:hAnsiTheme="majorHAnsi"/>
          <w:bCs/>
          <w:sz w:val="24"/>
          <w:szCs w:val="21"/>
        </w:rPr>
        <w:t>Charles La Trobe College</w:t>
      </w:r>
      <w:r w:rsidRPr="007224B2">
        <w:rPr>
          <w:rFonts w:asciiTheme="majorHAnsi" w:hAnsiTheme="majorHAnsi"/>
          <w:bCs/>
          <w:sz w:val="24"/>
          <w:szCs w:val="21"/>
        </w:rPr>
        <w:t xml:space="preserve"> complies with legislation and DET policy in relation to drug education.</w:t>
      </w:r>
    </w:p>
    <w:p w:rsidR="00422BDD" w:rsidRPr="007224B2" w:rsidRDefault="00422BDD" w:rsidP="003438D3">
      <w:pPr>
        <w:pStyle w:val="NoSpacing"/>
        <w:numPr>
          <w:ilvl w:val="0"/>
          <w:numId w:val="24"/>
        </w:numPr>
        <w:ind w:left="142" w:right="-330" w:hanging="426"/>
        <w:jc w:val="both"/>
        <w:rPr>
          <w:rFonts w:asciiTheme="majorHAnsi" w:hAnsiTheme="majorHAnsi"/>
          <w:bCs/>
          <w:sz w:val="24"/>
          <w:szCs w:val="21"/>
        </w:rPr>
      </w:pPr>
      <w:r w:rsidRPr="007224B2">
        <w:rPr>
          <w:rFonts w:asciiTheme="majorHAnsi" w:hAnsiTheme="majorHAnsi"/>
          <w:bCs/>
          <w:sz w:val="24"/>
          <w:szCs w:val="21"/>
        </w:rPr>
        <w:t>To ensure the College complies with the Child Safe Standards 1 and 2.</w:t>
      </w:r>
    </w:p>
    <w:p w:rsidR="005978D2" w:rsidRPr="007224B2" w:rsidRDefault="005978D2" w:rsidP="003438D3">
      <w:pPr>
        <w:pStyle w:val="NoSpacing"/>
        <w:ind w:left="142" w:right="-330" w:hanging="426"/>
        <w:jc w:val="both"/>
        <w:rPr>
          <w:rFonts w:asciiTheme="majorHAnsi" w:hAnsiTheme="majorHAnsi"/>
          <w:sz w:val="24"/>
          <w:szCs w:val="21"/>
        </w:rPr>
      </w:pPr>
    </w:p>
    <w:p w:rsidR="005978D2" w:rsidRPr="007224B2" w:rsidRDefault="005978D2" w:rsidP="003438D3">
      <w:pPr>
        <w:pStyle w:val="NoSpacing"/>
        <w:ind w:left="142" w:right="-330" w:hanging="426"/>
        <w:jc w:val="both"/>
        <w:rPr>
          <w:rStyle w:val="SubtleReference"/>
        </w:rPr>
      </w:pPr>
      <w:r w:rsidRPr="007224B2">
        <w:rPr>
          <w:rStyle w:val="SubtleReference"/>
        </w:rPr>
        <w:t>Implementation</w:t>
      </w:r>
    </w:p>
    <w:p w:rsidR="00422BDD" w:rsidRPr="007224B2" w:rsidRDefault="00422BDD" w:rsidP="003438D3">
      <w:pPr>
        <w:numPr>
          <w:ilvl w:val="0"/>
          <w:numId w:val="25"/>
        </w:numPr>
        <w:spacing w:after="0" w:line="240" w:lineRule="auto"/>
        <w:ind w:left="142" w:right="-330" w:hanging="426"/>
        <w:jc w:val="both"/>
        <w:rPr>
          <w:rFonts w:asciiTheme="majorHAnsi" w:hAnsiTheme="majorHAnsi"/>
          <w:sz w:val="24"/>
          <w:szCs w:val="21"/>
        </w:rPr>
      </w:pPr>
      <w:r w:rsidRPr="007224B2">
        <w:rPr>
          <w:rFonts w:asciiTheme="majorHAnsi" w:hAnsiTheme="majorHAnsi"/>
          <w:sz w:val="24"/>
          <w:szCs w:val="21"/>
        </w:rPr>
        <w:t>The safety and wellbeing of children is the highest priority for the College.</w:t>
      </w:r>
    </w:p>
    <w:p w:rsidR="005978D2" w:rsidRPr="007224B2" w:rsidRDefault="005978D2" w:rsidP="003438D3">
      <w:pPr>
        <w:pStyle w:val="NoSpacing"/>
        <w:numPr>
          <w:ilvl w:val="0"/>
          <w:numId w:val="25"/>
        </w:numPr>
        <w:ind w:left="142" w:right="-330" w:hanging="426"/>
        <w:jc w:val="both"/>
        <w:rPr>
          <w:rFonts w:asciiTheme="majorHAnsi" w:hAnsiTheme="majorHAnsi"/>
          <w:bCs/>
          <w:sz w:val="24"/>
          <w:szCs w:val="21"/>
        </w:rPr>
      </w:pPr>
      <w:r w:rsidRPr="007224B2">
        <w:rPr>
          <w:rFonts w:asciiTheme="majorHAnsi" w:hAnsiTheme="majorHAnsi"/>
          <w:bCs/>
          <w:sz w:val="24"/>
          <w:szCs w:val="21"/>
        </w:rPr>
        <w:t xml:space="preserve">The school will provide all </w:t>
      </w:r>
      <w:r w:rsidR="00422BDD" w:rsidRPr="007224B2">
        <w:rPr>
          <w:rFonts w:asciiTheme="majorHAnsi" w:hAnsiTheme="majorHAnsi"/>
          <w:bCs/>
          <w:sz w:val="24"/>
          <w:szCs w:val="21"/>
        </w:rPr>
        <w:t>children</w:t>
      </w:r>
      <w:r w:rsidRPr="007224B2">
        <w:rPr>
          <w:rFonts w:asciiTheme="majorHAnsi" w:hAnsiTheme="majorHAnsi"/>
          <w:bCs/>
          <w:sz w:val="24"/>
          <w:szCs w:val="21"/>
        </w:rPr>
        <w:t xml:space="preserve"> with a comprehensive, age appropriate drug education prevention and intervention program embedded across all </w:t>
      </w:r>
      <w:proofErr w:type="spellStart"/>
      <w:r w:rsidRPr="007224B2">
        <w:rPr>
          <w:rFonts w:asciiTheme="majorHAnsi" w:hAnsiTheme="majorHAnsi"/>
          <w:bCs/>
          <w:sz w:val="24"/>
          <w:szCs w:val="21"/>
        </w:rPr>
        <w:t>AusVELS</w:t>
      </w:r>
      <w:proofErr w:type="spellEnd"/>
      <w:r w:rsidRPr="007224B2">
        <w:rPr>
          <w:rFonts w:asciiTheme="majorHAnsi" w:hAnsiTheme="majorHAnsi"/>
          <w:bCs/>
          <w:sz w:val="24"/>
          <w:szCs w:val="21"/>
        </w:rPr>
        <w:t xml:space="preserve"> curriculum areas.</w:t>
      </w:r>
    </w:p>
    <w:p w:rsidR="005978D2" w:rsidRPr="007224B2" w:rsidRDefault="005978D2" w:rsidP="003438D3">
      <w:pPr>
        <w:pStyle w:val="NoSpacing"/>
        <w:numPr>
          <w:ilvl w:val="0"/>
          <w:numId w:val="25"/>
        </w:numPr>
        <w:ind w:left="142" w:right="-330" w:hanging="426"/>
        <w:jc w:val="both"/>
        <w:rPr>
          <w:rFonts w:asciiTheme="majorHAnsi" w:hAnsiTheme="majorHAnsi"/>
          <w:bCs/>
          <w:sz w:val="24"/>
          <w:szCs w:val="21"/>
        </w:rPr>
      </w:pPr>
      <w:r w:rsidRPr="007224B2">
        <w:rPr>
          <w:rFonts w:asciiTheme="majorHAnsi" w:hAnsiTheme="majorHAnsi"/>
          <w:bCs/>
          <w:sz w:val="24"/>
          <w:szCs w:val="21"/>
        </w:rPr>
        <w:t>The school will involve parents/guardians and the wider school community in drug-related curriculum and wellbeing issues.</w:t>
      </w:r>
    </w:p>
    <w:p w:rsidR="005978D2" w:rsidRPr="007224B2" w:rsidRDefault="005978D2" w:rsidP="003438D3">
      <w:pPr>
        <w:pStyle w:val="NoSpacing"/>
        <w:numPr>
          <w:ilvl w:val="0"/>
          <w:numId w:val="25"/>
        </w:numPr>
        <w:ind w:left="142" w:right="-330" w:hanging="426"/>
        <w:jc w:val="both"/>
        <w:rPr>
          <w:rFonts w:asciiTheme="majorHAnsi" w:hAnsiTheme="majorHAnsi"/>
          <w:bCs/>
          <w:sz w:val="24"/>
          <w:szCs w:val="21"/>
        </w:rPr>
      </w:pPr>
      <w:r w:rsidRPr="007224B2">
        <w:rPr>
          <w:rFonts w:asciiTheme="majorHAnsi" w:hAnsiTheme="majorHAnsi"/>
          <w:bCs/>
          <w:sz w:val="24"/>
          <w:szCs w:val="21"/>
        </w:rPr>
        <w:t>The possession, use, distribution or selling of illicit drugs will be prohibited.</w:t>
      </w:r>
    </w:p>
    <w:p w:rsidR="005978D2" w:rsidRPr="007224B2" w:rsidRDefault="005978D2" w:rsidP="003438D3">
      <w:pPr>
        <w:pStyle w:val="NoSpacing"/>
        <w:numPr>
          <w:ilvl w:val="0"/>
          <w:numId w:val="25"/>
        </w:numPr>
        <w:ind w:left="142" w:right="-330" w:hanging="426"/>
        <w:jc w:val="both"/>
        <w:rPr>
          <w:rFonts w:asciiTheme="majorHAnsi" w:hAnsiTheme="majorHAnsi"/>
          <w:bCs/>
          <w:sz w:val="24"/>
          <w:szCs w:val="21"/>
        </w:rPr>
      </w:pPr>
      <w:r w:rsidRPr="007224B2">
        <w:rPr>
          <w:rFonts w:asciiTheme="majorHAnsi" w:hAnsiTheme="majorHAnsi"/>
          <w:bCs/>
          <w:sz w:val="24"/>
          <w:szCs w:val="21"/>
        </w:rPr>
        <w:t>Drug Education will focus on a harm minimisation model i.e. prevent and reduce drug related harm.</w:t>
      </w:r>
    </w:p>
    <w:p w:rsidR="005978D2" w:rsidRPr="007224B2" w:rsidRDefault="005978D2" w:rsidP="003438D3">
      <w:pPr>
        <w:pStyle w:val="NoSpacing"/>
        <w:numPr>
          <w:ilvl w:val="0"/>
          <w:numId w:val="25"/>
        </w:numPr>
        <w:ind w:left="142" w:right="-330" w:hanging="426"/>
        <w:jc w:val="both"/>
        <w:rPr>
          <w:rFonts w:asciiTheme="majorHAnsi" w:hAnsiTheme="majorHAnsi"/>
          <w:sz w:val="24"/>
          <w:szCs w:val="21"/>
        </w:rPr>
      </w:pPr>
      <w:r w:rsidRPr="007224B2">
        <w:rPr>
          <w:rFonts w:asciiTheme="majorHAnsi" w:hAnsiTheme="majorHAnsi"/>
          <w:sz w:val="24"/>
          <w:szCs w:val="21"/>
        </w:rPr>
        <w:t>All staff have a duty of care to report to the Principal all cases involving drug and alcohol use, whether self-disclosed, reported or discovered.</w:t>
      </w:r>
    </w:p>
    <w:p w:rsidR="005978D2" w:rsidRPr="007224B2" w:rsidRDefault="005978D2" w:rsidP="003438D3">
      <w:pPr>
        <w:pStyle w:val="NoSpacing"/>
        <w:numPr>
          <w:ilvl w:val="0"/>
          <w:numId w:val="25"/>
        </w:numPr>
        <w:ind w:left="142" w:right="-330" w:hanging="426"/>
        <w:jc w:val="both"/>
        <w:rPr>
          <w:rFonts w:asciiTheme="majorHAnsi" w:hAnsiTheme="majorHAnsi"/>
          <w:sz w:val="24"/>
          <w:szCs w:val="21"/>
        </w:rPr>
      </w:pPr>
      <w:r w:rsidRPr="007224B2">
        <w:rPr>
          <w:rFonts w:asciiTheme="majorHAnsi" w:hAnsiTheme="majorHAnsi"/>
          <w:sz w:val="24"/>
          <w:szCs w:val="21"/>
        </w:rPr>
        <w:t>If a drug-related incident occurs:</w:t>
      </w:r>
    </w:p>
    <w:p w:rsidR="005978D2" w:rsidRPr="007224B2" w:rsidRDefault="005978D2" w:rsidP="003438D3">
      <w:pPr>
        <w:pStyle w:val="NoSpacing"/>
        <w:numPr>
          <w:ilvl w:val="0"/>
          <w:numId w:val="26"/>
        </w:numPr>
        <w:ind w:left="567" w:right="-330" w:hanging="426"/>
        <w:jc w:val="both"/>
        <w:rPr>
          <w:rFonts w:asciiTheme="majorHAnsi" w:hAnsiTheme="majorHAnsi"/>
          <w:sz w:val="24"/>
          <w:szCs w:val="21"/>
        </w:rPr>
      </w:pPr>
      <w:r w:rsidRPr="007224B2">
        <w:rPr>
          <w:rFonts w:asciiTheme="majorHAnsi" w:hAnsiTheme="majorHAnsi"/>
          <w:sz w:val="24"/>
          <w:szCs w:val="21"/>
        </w:rPr>
        <w:t xml:space="preserve">the primary focus will be on </w:t>
      </w:r>
      <w:r w:rsidR="00422BDD" w:rsidRPr="007224B2">
        <w:rPr>
          <w:rFonts w:asciiTheme="majorHAnsi" w:hAnsiTheme="majorHAnsi"/>
          <w:sz w:val="24"/>
          <w:szCs w:val="21"/>
        </w:rPr>
        <w:t>child</w:t>
      </w:r>
      <w:r w:rsidRPr="007224B2">
        <w:rPr>
          <w:rFonts w:asciiTheme="majorHAnsi" w:hAnsiTheme="majorHAnsi"/>
          <w:sz w:val="24"/>
          <w:szCs w:val="21"/>
        </w:rPr>
        <w:t xml:space="preserve"> safety and wellbeing including whether the </w:t>
      </w:r>
      <w:r w:rsidR="00422BDD" w:rsidRPr="007224B2">
        <w:rPr>
          <w:rFonts w:asciiTheme="majorHAnsi" w:hAnsiTheme="majorHAnsi"/>
          <w:sz w:val="24"/>
          <w:szCs w:val="21"/>
        </w:rPr>
        <w:t>child</w:t>
      </w:r>
      <w:r w:rsidRPr="007224B2">
        <w:rPr>
          <w:rFonts w:asciiTheme="majorHAnsi" w:hAnsiTheme="majorHAnsi"/>
          <w:sz w:val="24"/>
          <w:szCs w:val="21"/>
        </w:rPr>
        <w:t xml:space="preserve"> requires medical attention</w:t>
      </w:r>
    </w:p>
    <w:p w:rsidR="005978D2" w:rsidRPr="007224B2" w:rsidRDefault="005978D2" w:rsidP="003438D3">
      <w:pPr>
        <w:pStyle w:val="NoSpacing"/>
        <w:numPr>
          <w:ilvl w:val="0"/>
          <w:numId w:val="26"/>
        </w:numPr>
        <w:ind w:left="567" w:right="-330" w:hanging="426"/>
        <w:jc w:val="both"/>
        <w:rPr>
          <w:rFonts w:asciiTheme="majorHAnsi" w:hAnsiTheme="majorHAnsi"/>
          <w:sz w:val="24"/>
          <w:szCs w:val="21"/>
        </w:rPr>
      </w:pPr>
      <w:r w:rsidRPr="007224B2">
        <w:rPr>
          <w:rFonts w:asciiTheme="majorHAnsi" w:hAnsiTheme="majorHAnsi"/>
          <w:sz w:val="24"/>
          <w:szCs w:val="21"/>
        </w:rPr>
        <w:t>relevant facts will be gathered and if required, the drugs collected</w:t>
      </w:r>
    </w:p>
    <w:p w:rsidR="005978D2" w:rsidRPr="007224B2" w:rsidRDefault="005978D2" w:rsidP="003438D3">
      <w:pPr>
        <w:pStyle w:val="NoSpacing"/>
        <w:numPr>
          <w:ilvl w:val="0"/>
          <w:numId w:val="26"/>
        </w:numPr>
        <w:ind w:left="567" w:right="-330" w:hanging="426"/>
        <w:jc w:val="both"/>
        <w:rPr>
          <w:rFonts w:asciiTheme="majorHAnsi" w:hAnsiTheme="majorHAnsi"/>
          <w:sz w:val="24"/>
          <w:szCs w:val="21"/>
        </w:rPr>
      </w:pPr>
      <w:r w:rsidRPr="007224B2">
        <w:rPr>
          <w:rFonts w:asciiTheme="majorHAnsi" w:hAnsiTheme="majorHAnsi"/>
          <w:sz w:val="24"/>
          <w:szCs w:val="21"/>
        </w:rPr>
        <w:t>when safe to do so the parent/</w:t>
      </w:r>
      <w:r w:rsidR="000E7CC8" w:rsidRPr="007224B2">
        <w:rPr>
          <w:rFonts w:asciiTheme="majorHAnsi" w:hAnsiTheme="majorHAnsi"/>
          <w:sz w:val="24"/>
          <w:szCs w:val="21"/>
        </w:rPr>
        <w:t>carers</w:t>
      </w:r>
      <w:r w:rsidRPr="007224B2">
        <w:rPr>
          <w:rFonts w:asciiTheme="majorHAnsi" w:hAnsiTheme="majorHAnsi"/>
          <w:sz w:val="24"/>
          <w:szCs w:val="21"/>
        </w:rPr>
        <w:t xml:space="preserve"> will be advised along with health, community and welfare </w:t>
      </w:r>
      <w:proofErr w:type="gramStart"/>
      <w:r w:rsidRPr="007224B2">
        <w:rPr>
          <w:rFonts w:asciiTheme="majorHAnsi" w:hAnsiTheme="majorHAnsi"/>
          <w:sz w:val="24"/>
          <w:szCs w:val="21"/>
        </w:rPr>
        <w:t>services  and</w:t>
      </w:r>
      <w:proofErr w:type="gramEnd"/>
      <w:r w:rsidRPr="007224B2">
        <w:rPr>
          <w:rFonts w:asciiTheme="majorHAnsi" w:hAnsiTheme="majorHAnsi"/>
          <w:sz w:val="24"/>
          <w:szCs w:val="21"/>
        </w:rPr>
        <w:t xml:space="preserve"> if necessary, the police</w:t>
      </w:r>
    </w:p>
    <w:p w:rsidR="005978D2" w:rsidRPr="007224B2" w:rsidRDefault="005978D2" w:rsidP="003438D3">
      <w:pPr>
        <w:pStyle w:val="NoSpacing"/>
        <w:numPr>
          <w:ilvl w:val="0"/>
          <w:numId w:val="26"/>
        </w:numPr>
        <w:ind w:left="567" w:right="-330" w:hanging="426"/>
        <w:jc w:val="both"/>
        <w:rPr>
          <w:rFonts w:asciiTheme="majorHAnsi" w:hAnsiTheme="majorHAnsi"/>
          <w:sz w:val="24"/>
          <w:szCs w:val="21"/>
        </w:rPr>
      </w:pPr>
      <w:r w:rsidRPr="007224B2">
        <w:rPr>
          <w:rFonts w:asciiTheme="majorHAnsi" w:hAnsiTheme="majorHAnsi"/>
          <w:sz w:val="24"/>
          <w:szCs w:val="21"/>
        </w:rPr>
        <w:t xml:space="preserve">a case management team will be established to monitor and support the </w:t>
      </w:r>
      <w:r w:rsidR="00422BDD" w:rsidRPr="007224B2">
        <w:rPr>
          <w:rFonts w:asciiTheme="majorHAnsi" w:hAnsiTheme="majorHAnsi"/>
          <w:sz w:val="24"/>
          <w:szCs w:val="21"/>
        </w:rPr>
        <w:t>child</w:t>
      </w:r>
      <w:r w:rsidRPr="007224B2">
        <w:rPr>
          <w:rFonts w:asciiTheme="majorHAnsi" w:hAnsiTheme="majorHAnsi"/>
          <w:sz w:val="24"/>
          <w:szCs w:val="21"/>
        </w:rPr>
        <w:t xml:space="preserve"> in the longer term</w:t>
      </w:r>
    </w:p>
    <w:p w:rsidR="005978D2" w:rsidRPr="007224B2" w:rsidRDefault="005978D2" w:rsidP="003438D3">
      <w:pPr>
        <w:pStyle w:val="NoSpacing"/>
        <w:numPr>
          <w:ilvl w:val="0"/>
          <w:numId w:val="26"/>
        </w:numPr>
        <w:ind w:left="567" w:right="-330" w:hanging="426"/>
        <w:jc w:val="both"/>
        <w:rPr>
          <w:rStyle w:val="SubtleReference"/>
          <w:smallCaps w:val="0"/>
          <w:szCs w:val="21"/>
          <w:u w:val="none"/>
        </w:rPr>
      </w:pPr>
      <w:r w:rsidRPr="007224B2">
        <w:rPr>
          <w:rFonts w:asciiTheme="majorHAnsi" w:hAnsiTheme="majorHAnsi"/>
          <w:sz w:val="24"/>
          <w:szCs w:val="21"/>
        </w:rPr>
        <w:t xml:space="preserve">if deemed appropriate and with due regard for the </w:t>
      </w:r>
      <w:r w:rsidR="00422BDD" w:rsidRPr="007224B2">
        <w:rPr>
          <w:rFonts w:asciiTheme="majorHAnsi" w:hAnsiTheme="majorHAnsi"/>
          <w:sz w:val="24"/>
          <w:szCs w:val="21"/>
        </w:rPr>
        <w:t>child</w:t>
      </w:r>
      <w:r w:rsidRPr="007224B2">
        <w:rPr>
          <w:rFonts w:asciiTheme="majorHAnsi" w:hAnsiTheme="majorHAnsi"/>
          <w:sz w:val="24"/>
          <w:szCs w:val="21"/>
        </w:rPr>
        <w:t xml:space="preserve">’s privacy, the community may be advised of </w:t>
      </w:r>
      <w:proofErr w:type="gramStart"/>
      <w:r w:rsidRPr="007224B2">
        <w:rPr>
          <w:rFonts w:asciiTheme="majorHAnsi" w:hAnsiTheme="majorHAnsi"/>
          <w:sz w:val="24"/>
          <w:szCs w:val="21"/>
        </w:rPr>
        <w:t>the  incident</w:t>
      </w:r>
      <w:proofErr w:type="gramEnd"/>
      <w:r w:rsidR="007224B2">
        <w:rPr>
          <w:rFonts w:asciiTheme="majorHAnsi" w:hAnsiTheme="majorHAnsi"/>
          <w:sz w:val="24"/>
          <w:szCs w:val="21"/>
        </w:rPr>
        <w:t xml:space="preserve"> </w:t>
      </w:r>
      <w:r w:rsidRPr="007224B2">
        <w:t>this policy will be reviewed</w:t>
      </w:r>
    </w:p>
    <w:p w:rsidR="005978D2" w:rsidRPr="007224B2" w:rsidRDefault="005978D2" w:rsidP="003438D3">
      <w:pPr>
        <w:pStyle w:val="NoSpacing"/>
        <w:numPr>
          <w:ilvl w:val="0"/>
          <w:numId w:val="27"/>
        </w:numPr>
        <w:ind w:left="142" w:right="-330" w:hanging="426"/>
        <w:jc w:val="both"/>
        <w:rPr>
          <w:rFonts w:asciiTheme="majorHAnsi" w:hAnsiTheme="majorHAnsi"/>
          <w:sz w:val="24"/>
          <w:szCs w:val="21"/>
        </w:rPr>
      </w:pPr>
      <w:r w:rsidRPr="007224B2">
        <w:rPr>
          <w:rFonts w:asciiTheme="majorHAnsi" w:hAnsiTheme="majorHAnsi"/>
          <w:sz w:val="24"/>
          <w:szCs w:val="21"/>
        </w:rPr>
        <w:t xml:space="preserve">A case management team will be established to monitor and support the </w:t>
      </w:r>
      <w:r w:rsidR="00422BDD" w:rsidRPr="007224B2">
        <w:rPr>
          <w:rFonts w:asciiTheme="majorHAnsi" w:hAnsiTheme="majorHAnsi"/>
          <w:sz w:val="24"/>
          <w:szCs w:val="21"/>
        </w:rPr>
        <w:t>child</w:t>
      </w:r>
      <w:r w:rsidRPr="007224B2">
        <w:rPr>
          <w:rFonts w:asciiTheme="majorHAnsi" w:hAnsiTheme="majorHAnsi"/>
          <w:sz w:val="24"/>
          <w:szCs w:val="21"/>
        </w:rPr>
        <w:t xml:space="preserve"> in the longer term.</w:t>
      </w:r>
    </w:p>
    <w:p w:rsidR="005978D2" w:rsidRPr="007224B2" w:rsidRDefault="005978D2" w:rsidP="003438D3">
      <w:pPr>
        <w:pStyle w:val="NoSpacing"/>
        <w:numPr>
          <w:ilvl w:val="0"/>
          <w:numId w:val="27"/>
        </w:numPr>
        <w:ind w:left="142" w:right="-330" w:hanging="426"/>
        <w:jc w:val="both"/>
        <w:rPr>
          <w:rFonts w:asciiTheme="majorHAnsi" w:hAnsiTheme="majorHAnsi" w:cs="Arial"/>
          <w:color w:val="000000"/>
          <w:sz w:val="24"/>
          <w:szCs w:val="21"/>
          <w:lang w:eastAsia="en-AU"/>
        </w:rPr>
      </w:pPr>
      <w:r w:rsidRPr="007224B2">
        <w:rPr>
          <w:rFonts w:asciiTheme="majorHAnsi" w:hAnsiTheme="majorHAnsi" w:cs="Arial"/>
          <w:color w:val="000000"/>
          <w:sz w:val="24"/>
          <w:szCs w:val="21"/>
          <w:lang w:eastAsia="en-AU"/>
        </w:rPr>
        <w:lastRenderedPageBreak/>
        <w:t xml:space="preserve">Any </w:t>
      </w:r>
      <w:r w:rsidR="00422BDD" w:rsidRPr="007224B2">
        <w:rPr>
          <w:rFonts w:asciiTheme="majorHAnsi" w:hAnsiTheme="majorHAnsi" w:cs="Arial"/>
          <w:color w:val="000000"/>
          <w:sz w:val="24"/>
          <w:szCs w:val="21"/>
          <w:lang w:eastAsia="en-AU"/>
        </w:rPr>
        <w:t>child</w:t>
      </w:r>
      <w:r w:rsidRPr="007224B2">
        <w:rPr>
          <w:rFonts w:asciiTheme="majorHAnsi" w:hAnsiTheme="majorHAnsi" w:cs="Arial"/>
          <w:color w:val="000000"/>
          <w:sz w:val="24"/>
          <w:szCs w:val="21"/>
          <w:lang w:eastAsia="en-AU"/>
        </w:rPr>
        <w:t xml:space="preserve"> who is absent from school due to drug use or the resultant treatment should be provided with </w:t>
      </w:r>
      <w:r w:rsidR="00422BDD" w:rsidRPr="007224B2">
        <w:rPr>
          <w:rFonts w:asciiTheme="majorHAnsi" w:hAnsiTheme="majorHAnsi" w:cs="Arial"/>
          <w:color w:val="000000"/>
          <w:sz w:val="24"/>
          <w:szCs w:val="21"/>
          <w:lang w:eastAsia="en-AU"/>
        </w:rPr>
        <w:t>an</w:t>
      </w:r>
      <w:r w:rsidRPr="007224B2">
        <w:rPr>
          <w:rFonts w:asciiTheme="majorHAnsi" w:hAnsiTheme="majorHAnsi" w:cs="Arial"/>
          <w:color w:val="000000"/>
          <w:sz w:val="24"/>
          <w:szCs w:val="21"/>
          <w:lang w:eastAsia="en-AU"/>
        </w:rPr>
        <w:t xml:space="preserve"> Absence Learning Plan as determined by teachers in consultation with parents / guardians and the school’s appointed case manager.</w:t>
      </w:r>
    </w:p>
    <w:p w:rsidR="005978D2" w:rsidRPr="007224B2" w:rsidRDefault="005978D2" w:rsidP="003438D3">
      <w:pPr>
        <w:pStyle w:val="NoSpacing"/>
        <w:numPr>
          <w:ilvl w:val="0"/>
          <w:numId w:val="27"/>
        </w:numPr>
        <w:ind w:left="142" w:right="-330" w:hanging="426"/>
        <w:jc w:val="both"/>
        <w:rPr>
          <w:rFonts w:asciiTheme="majorHAnsi" w:hAnsiTheme="majorHAnsi" w:cs="Arial"/>
          <w:color w:val="000000"/>
          <w:sz w:val="24"/>
          <w:szCs w:val="21"/>
          <w:lang w:eastAsia="en-AU"/>
        </w:rPr>
      </w:pPr>
      <w:r w:rsidRPr="007224B2">
        <w:rPr>
          <w:rFonts w:asciiTheme="majorHAnsi" w:hAnsiTheme="majorHAnsi" w:cs="Arial"/>
          <w:color w:val="000000"/>
          <w:sz w:val="24"/>
          <w:szCs w:val="21"/>
          <w:lang w:eastAsia="en-AU"/>
        </w:rPr>
        <w:t>The school will have procedures in place for dealing with the media.  Principals are responsible for media contact, supported by the regional director and Department Media Unit (03) 9637-2871.</w:t>
      </w:r>
    </w:p>
    <w:p w:rsidR="005978D2" w:rsidRPr="007224B2" w:rsidRDefault="005978D2" w:rsidP="003438D3">
      <w:pPr>
        <w:pStyle w:val="NoSpacing"/>
        <w:numPr>
          <w:ilvl w:val="0"/>
          <w:numId w:val="27"/>
        </w:numPr>
        <w:ind w:left="142" w:right="-330" w:hanging="426"/>
        <w:jc w:val="both"/>
        <w:rPr>
          <w:rFonts w:asciiTheme="majorHAnsi" w:hAnsiTheme="majorHAnsi"/>
          <w:sz w:val="24"/>
          <w:szCs w:val="21"/>
        </w:rPr>
      </w:pPr>
      <w:r w:rsidRPr="007224B2">
        <w:rPr>
          <w:rFonts w:asciiTheme="majorHAnsi" w:hAnsiTheme="majorHAnsi"/>
          <w:sz w:val="24"/>
          <w:szCs w:val="21"/>
        </w:rPr>
        <w:t xml:space="preserve">If deemed appropriate and with due regard for the </w:t>
      </w:r>
      <w:r w:rsidR="00422BDD" w:rsidRPr="007224B2">
        <w:rPr>
          <w:rFonts w:asciiTheme="majorHAnsi" w:hAnsiTheme="majorHAnsi"/>
          <w:sz w:val="24"/>
          <w:szCs w:val="21"/>
        </w:rPr>
        <w:t>child</w:t>
      </w:r>
      <w:r w:rsidRPr="007224B2">
        <w:rPr>
          <w:rFonts w:asciiTheme="majorHAnsi" w:hAnsiTheme="majorHAnsi"/>
          <w:sz w:val="24"/>
          <w:szCs w:val="21"/>
        </w:rPr>
        <w:t>’s privacy, the community may be advised of the incident.</w:t>
      </w:r>
    </w:p>
    <w:p w:rsidR="005978D2" w:rsidRPr="007224B2" w:rsidRDefault="005978D2" w:rsidP="003438D3">
      <w:pPr>
        <w:pStyle w:val="NoSpacing"/>
        <w:numPr>
          <w:ilvl w:val="0"/>
          <w:numId w:val="27"/>
        </w:numPr>
        <w:ind w:left="142" w:right="-330" w:hanging="426"/>
        <w:jc w:val="both"/>
        <w:rPr>
          <w:rFonts w:asciiTheme="majorHAnsi" w:hAnsiTheme="majorHAnsi"/>
          <w:i/>
          <w:sz w:val="24"/>
          <w:szCs w:val="21"/>
        </w:rPr>
      </w:pPr>
      <w:r w:rsidRPr="007224B2">
        <w:rPr>
          <w:rFonts w:asciiTheme="majorHAnsi" w:hAnsiTheme="majorHAnsi"/>
          <w:sz w:val="24"/>
          <w:szCs w:val="21"/>
        </w:rPr>
        <w:t xml:space="preserve">Please refer also to the </w:t>
      </w:r>
      <w:r w:rsidRPr="007224B2">
        <w:rPr>
          <w:rFonts w:asciiTheme="majorHAnsi" w:hAnsiTheme="majorHAnsi"/>
          <w:i/>
          <w:sz w:val="24"/>
          <w:szCs w:val="21"/>
        </w:rPr>
        <w:t xml:space="preserve">school’s Duty of Care Policy, </w:t>
      </w:r>
      <w:r w:rsidRPr="007224B2">
        <w:rPr>
          <w:rFonts w:asciiTheme="majorHAnsi" w:hAnsiTheme="majorHAnsi"/>
          <w:sz w:val="24"/>
          <w:szCs w:val="21"/>
        </w:rPr>
        <w:t xml:space="preserve">the </w:t>
      </w:r>
      <w:r w:rsidRPr="007224B2">
        <w:rPr>
          <w:rFonts w:asciiTheme="majorHAnsi" w:hAnsiTheme="majorHAnsi"/>
          <w:i/>
          <w:sz w:val="24"/>
          <w:szCs w:val="21"/>
        </w:rPr>
        <w:t>Banning, Searching &amp; Seizure Policy,</w:t>
      </w:r>
      <w:r w:rsidRPr="007224B2">
        <w:rPr>
          <w:rFonts w:asciiTheme="majorHAnsi" w:hAnsiTheme="majorHAnsi"/>
          <w:sz w:val="24"/>
          <w:szCs w:val="21"/>
        </w:rPr>
        <w:t xml:space="preserve"> the</w:t>
      </w:r>
      <w:r w:rsidRPr="007224B2">
        <w:rPr>
          <w:rFonts w:asciiTheme="majorHAnsi" w:hAnsiTheme="majorHAnsi"/>
          <w:i/>
          <w:sz w:val="24"/>
          <w:szCs w:val="21"/>
        </w:rPr>
        <w:t xml:space="preserve"> Wellbeing &amp; Learning Policy</w:t>
      </w:r>
      <w:r w:rsidR="00A14E85" w:rsidRPr="007224B2">
        <w:rPr>
          <w:rFonts w:asciiTheme="majorHAnsi" w:hAnsiTheme="majorHAnsi"/>
          <w:i/>
          <w:sz w:val="24"/>
          <w:szCs w:val="21"/>
        </w:rPr>
        <w:t>,</w:t>
      </w:r>
      <w:r w:rsidRPr="007224B2">
        <w:rPr>
          <w:rFonts w:asciiTheme="majorHAnsi" w:hAnsiTheme="majorHAnsi"/>
          <w:sz w:val="24"/>
          <w:szCs w:val="21"/>
        </w:rPr>
        <w:t xml:space="preserve"> </w:t>
      </w:r>
      <w:r w:rsidR="005A0031">
        <w:rPr>
          <w:rFonts w:asciiTheme="majorHAnsi" w:hAnsiTheme="majorHAnsi"/>
          <w:sz w:val="24"/>
          <w:szCs w:val="21"/>
        </w:rPr>
        <w:t xml:space="preserve">and </w:t>
      </w:r>
      <w:r w:rsidRPr="007224B2">
        <w:rPr>
          <w:rFonts w:asciiTheme="majorHAnsi" w:hAnsiTheme="majorHAnsi"/>
          <w:sz w:val="24"/>
          <w:szCs w:val="21"/>
        </w:rPr>
        <w:t xml:space="preserve">the </w:t>
      </w:r>
      <w:r w:rsidRPr="007224B2">
        <w:rPr>
          <w:rFonts w:asciiTheme="majorHAnsi" w:hAnsiTheme="majorHAnsi"/>
          <w:i/>
          <w:sz w:val="24"/>
          <w:szCs w:val="21"/>
        </w:rPr>
        <w:t>Student Engagement Policy</w:t>
      </w:r>
      <w:r w:rsidR="005A0031">
        <w:rPr>
          <w:rFonts w:asciiTheme="majorHAnsi" w:hAnsiTheme="majorHAnsi"/>
          <w:sz w:val="24"/>
          <w:szCs w:val="21"/>
        </w:rPr>
        <w:t>.</w:t>
      </w:r>
    </w:p>
    <w:p w:rsidR="005978D2" w:rsidRPr="007224B2" w:rsidRDefault="005978D2" w:rsidP="003438D3">
      <w:pPr>
        <w:pStyle w:val="NoSpacing"/>
        <w:ind w:left="142" w:right="-330" w:hanging="426"/>
        <w:jc w:val="both"/>
        <w:rPr>
          <w:rStyle w:val="SubtleReference"/>
        </w:rPr>
      </w:pPr>
    </w:p>
    <w:p w:rsidR="005A0031" w:rsidRDefault="005978D2" w:rsidP="003438D3">
      <w:pPr>
        <w:pStyle w:val="NoSpacing"/>
        <w:ind w:left="142" w:right="-330" w:hanging="426"/>
        <w:jc w:val="both"/>
        <w:rPr>
          <w:rStyle w:val="SubtleReference"/>
        </w:rPr>
      </w:pPr>
      <w:r w:rsidRPr="007224B2">
        <w:rPr>
          <w:rStyle w:val="SubtleReference"/>
        </w:rPr>
        <w:t>Evaluation</w:t>
      </w:r>
    </w:p>
    <w:p w:rsidR="005978D2" w:rsidRPr="005A0031" w:rsidRDefault="005978D2" w:rsidP="003438D3">
      <w:pPr>
        <w:pStyle w:val="NoSpacing"/>
        <w:ind w:left="-284" w:right="-330"/>
        <w:jc w:val="both"/>
        <w:rPr>
          <w:rFonts w:asciiTheme="majorHAnsi" w:hAnsiTheme="majorHAnsi"/>
          <w:smallCaps/>
          <w:sz w:val="24"/>
          <w:u w:val="single"/>
        </w:rPr>
      </w:pPr>
      <w:r w:rsidRPr="007224B2">
        <w:rPr>
          <w:rFonts w:asciiTheme="majorHAnsi" w:hAnsiTheme="majorHAnsi"/>
          <w:sz w:val="24"/>
          <w:szCs w:val="21"/>
        </w:rPr>
        <w:t>This policy will be reviewed as part of the school’s three-year review cycle or if guidelines change (latest DET update early September 2014).</w:t>
      </w:r>
    </w:p>
    <w:p w:rsidR="005978D2" w:rsidRDefault="005978D2" w:rsidP="003438D3">
      <w:pPr>
        <w:ind w:left="-284" w:right="-330"/>
        <w:jc w:val="both"/>
        <w:rPr>
          <w:rFonts w:asciiTheme="majorHAnsi" w:hAnsiTheme="majorHAnsi"/>
          <w:sz w:val="28"/>
        </w:rPr>
      </w:pPr>
    </w:p>
    <w:p w:rsidR="005A0031" w:rsidRPr="007224B2" w:rsidRDefault="005A0031" w:rsidP="003438D3">
      <w:pPr>
        <w:pStyle w:val="NoSpacing"/>
        <w:ind w:left="142" w:right="-330" w:hanging="426"/>
        <w:jc w:val="both"/>
        <w:rPr>
          <w:rStyle w:val="SubtleReference"/>
        </w:rPr>
      </w:pPr>
      <w:r>
        <w:rPr>
          <w:rStyle w:val="SubtleReference"/>
        </w:rPr>
        <w:t>Ratification</w:t>
      </w:r>
    </w:p>
    <w:p w:rsidR="005978D2" w:rsidRPr="007224B2" w:rsidRDefault="005978D2" w:rsidP="003438D3">
      <w:pPr>
        <w:pStyle w:val="NoSpacing"/>
        <w:ind w:left="-284" w:right="-330"/>
        <w:jc w:val="both"/>
        <w:rPr>
          <w:rFonts w:asciiTheme="majorHAnsi" w:hAnsiTheme="majorHAnsi"/>
          <w:sz w:val="24"/>
          <w:szCs w:val="21"/>
        </w:rPr>
      </w:pPr>
      <w:r w:rsidRPr="007224B2">
        <w:rPr>
          <w:rFonts w:asciiTheme="majorHAnsi" w:hAnsiTheme="majorHAnsi"/>
          <w:sz w:val="24"/>
          <w:szCs w:val="21"/>
        </w:rPr>
        <w:t xml:space="preserve">This policy was ratified by </w:t>
      </w:r>
      <w:r w:rsidR="00A14E85" w:rsidRPr="007224B2">
        <w:rPr>
          <w:rFonts w:asciiTheme="majorHAnsi" w:hAnsiTheme="majorHAnsi"/>
          <w:sz w:val="24"/>
          <w:szCs w:val="21"/>
        </w:rPr>
        <w:t xml:space="preserve">the </w:t>
      </w:r>
      <w:r w:rsidR="00E15762" w:rsidRPr="007224B2">
        <w:rPr>
          <w:rFonts w:asciiTheme="majorHAnsi" w:hAnsiTheme="majorHAnsi"/>
          <w:sz w:val="24"/>
          <w:szCs w:val="21"/>
        </w:rPr>
        <w:t>College</w:t>
      </w:r>
      <w:r w:rsidRPr="007224B2">
        <w:rPr>
          <w:rFonts w:asciiTheme="majorHAnsi" w:hAnsiTheme="majorHAnsi"/>
          <w:sz w:val="24"/>
          <w:szCs w:val="21"/>
        </w:rPr>
        <w:t xml:space="preserve"> Council </w:t>
      </w:r>
      <w:r w:rsidR="00A14E85" w:rsidRPr="007224B2">
        <w:rPr>
          <w:rFonts w:asciiTheme="majorHAnsi" w:hAnsiTheme="majorHAnsi"/>
          <w:sz w:val="24"/>
          <w:szCs w:val="21"/>
        </w:rPr>
        <w:t>o</w:t>
      </w:r>
      <w:r w:rsidRPr="007224B2">
        <w:rPr>
          <w:rFonts w:asciiTheme="majorHAnsi" w:hAnsiTheme="majorHAnsi"/>
          <w:sz w:val="24"/>
          <w:szCs w:val="21"/>
        </w:rPr>
        <w:t xml:space="preserve">n </w:t>
      </w:r>
      <w:r w:rsidR="004A4C2A">
        <w:rPr>
          <w:rFonts w:asciiTheme="majorHAnsi" w:hAnsiTheme="majorHAnsi"/>
          <w:sz w:val="24"/>
          <w:szCs w:val="21"/>
        </w:rPr>
        <w:t>15</w:t>
      </w:r>
      <w:r w:rsidR="004A4C2A" w:rsidRPr="004A4C2A">
        <w:rPr>
          <w:rFonts w:asciiTheme="majorHAnsi" w:hAnsiTheme="majorHAnsi"/>
          <w:sz w:val="24"/>
          <w:szCs w:val="21"/>
          <w:vertAlign w:val="superscript"/>
        </w:rPr>
        <w:t>th</w:t>
      </w:r>
      <w:r w:rsidR="004A4C2A">
        <w:rPr>
          <w:rFonts w:asciiTheme="majorHAnsi" w:hAnsiTheme="majorHAnsi"/>
          <w:sz w:val="24"/>
          <w:szCs w:val="21"/>
        </w:rPr>
        <w:t xml:space="preserve"> </w:t>
      </w:r>
      <w:proofErr w:type="gramStart"/>
      <w:r w:rsidR="003438D3">
        <w:rPr>
          <w:rFonts w:asciiTheme="majorHAnsi" w:hAnsiTheme="majorHAnsi"/>
          <w:sz w:val="24"/>
          <w:szCs w:val="21"/>
        </w:rPr>
        <w:t>February</w:t>
      </w:r>
      <w:r w:rsidR="004A4C2A">
        <w:rPr>
          <w:rFonts w:asciiTheme="majorHAnsi" w:hAnsiTheme="majorHAnsi"/>
          <w:sz w:val="24"/>
          <w:szCs w:val="21"/>
        </w:rPr>
        <w:t>,</w:t>
      </w:r>
      <w:proofErr w:type="gramEnd"/>
      <w:r w:rsidR="004A4C2A">
        <w:rPr>
          <w:rFonts w:asciiTheme="majorHAnsi" w:hAnsiTheme="majorHAnsi"/>
          <w:sz w:val="24"/>
          <w:szCs w:val="21"/>
        </w:rPr>
        <w:t xml:space="preserve"> 2018.</w:t>
      </w:r>
    </w:p>
    <w:p w:rsidR="005978D2" w:rsidRPr="007224B2" w:rsidRDefault="005978D2" w:rsidP="003438D3">
      <w:pPr>
        <w:ind w:left="142" w:right="-330" w:hanging="426"/>
        <w:jc w:val="both"/>
        <w:rPr>
          <w:rFonts w:asciiTheme="majorHAnsi" w:hAnsiTheme="majorHAnsi"/>
          <w:sz w:val="28"/>
        </w:rPr>
      </w:pPr>
    </w:p>
    <w:p w:rsidR="005978D2" w:rsidRPr="005A0031" w:rsidRDefault="005978D2" w:rsidP="003438D3">
      <w:pPr>
        <w:pStyle w:val="NoSpacing"/>
        <w:ind w:left="142" w:right="-330" w:hanging="426"/>
        <w:jc w:val="both"/>
        <w:rPr>
          <w:rStyle w:val="SubtleReference"/>
        </w:rPr>
      </w:pPr>
      <w:r w:rsidRPr="005A0031">
        <w:rPr>
          <w:rStyle w:val="SubtleReference"/>
        </w:rPr>
        <w:t>References:</w:t>
      </w:r>
    </w:p>
    <w:p w:rsidR="005978D2" w:rsidRPr="005A0031" w:rsidRDefault="003C06F7" w:rsidP="003438D3">
      <w:pPr>
        <w:pStyle w:val="NoSpacing"/>
        <w:ind w:left="-284" w:right="-330"/>
        <w:jc w:val="both"/>
        <w:rPr>
          <w:rFonts w:asciiTheme="majorHAnsi" w:hAnsiTheme="majorHAnsi"/>
          <w:sz w:val="24"/>
          <w:szCs w:val="21"/>
        </w:rPr>
      </w:pPr>
      <w:hyperlink r:id="rId10" w:history="1">
        <w:r w:rsidR="005978D2" w:rsidRPr="005A0031">
          <w:rPr>
            <w:rFonts w:asciiTheme="majorHAnsi" w:hAnsiTheme="majorHAnsi"/>
            <w:sz w:val="24"/>
            <w:szCs w:val="21"/>
          </w:rPr>
          <w:t>www.education.vic.gov.au/school/principals/spag/safety/Pages/drugprevention.aspx</w:t>
        </w:r>
      </w:hyperlink>
    </w:p>
    <w:p w:rsidR="005978D2" w:rsidRPr="003438D3" w:rsidRDefault="003C06F7" w:rsidP="003438D3">
      <w:pPr>
        <w:pStyle w:val="NoSpacing"/>
        <w:ind w:left="-284" w:right="-330"/>
        <w:jc w:val="both"/>
        <w:rPr>
          <w:rFonts w:asciiTheme="majorHAnsi" w:hAnsiTheme="majorHAnsi"/>
          <w:sz w:val="24"/>
          <w:szCs w:val="21"/>
        </w:rPr>
      </w:pPr>
      <w:hyperlink r:id="rId11" w:history="1">
        <w:r w:rsidR="005978D2" w:rsidRPr="005A0031">
          <w:rPr>
            <w:rFonts w:asciiTheme="majorHAnsi" w:hAnsiTheme="majorHAnsi"/>
            <w:sz w:val="24"/>
            <w:szCs w:val="21"/>
          </w:rPr>
          <w:t>www.education.vic.gov.au/school/principals/spag/safety/Pages/druguse.aspx</w:t>
        </w:r>
      </w:hyperlink>
      <w:bookmarkStart w:id="0" w:name="_GoBack"/>
      <w:bookmarkEnd w:id="0"/>
    </w:p>
    <w:sectPr w:rsidR="005978D2" w:rsidRPr="003438D3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06F7" w:rsidRDefault="003C06F7" w:rsidP="00472AE5">
      <w:pPr>
        <w:spacing w:after="0" w:line="240" w:lineRule="auto"/>
      </w:pPr>
      <w:r>
        <w:separator/>
      </w:r>
    </w:p>
  </w:endnote>
  <w:endnote w:type="continuationSeparator" w:id="0">
    <w:p w:rsidR="003C06F7" w:rsidRDefault="003C06F7" w:rsidP="00472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165906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00C10" w:rsidRPr="005A0031" w:rsidRDefault="00A00C10" w:rsidP="005A0031">
        <w:pPr>
          <w:pStyle w:val="Footer"/>
          <w:jc w:val="center"/>
        </w:pPr>
        <w:r w:rsidRPr="005A0031">
          <w:fldChar w:fldCharType="begin"/>
        </w:r>
        <w:r w:rsidRPr="005A0031">
          <w:instrText xml:space="preserve"> PAGE   \* MERGEFORMAT </w:instrText>
        </w:r>
        <w:r w:rsidRPr="005A0031">
          <w:fldChar w:fldCharType="separate"/>
        </w:r>
        <w:r w:rsidR="003438D3">
          <w:rPr>
            <w:noProof/>
          </w:rPr>
          <w:t>2</w:t>
        </w:r>
        <w:r w:rsidRPr="005A0031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06F7" w:rsidRDefault="003C06F7" w:rsidP="00472AE5">
      <w:pPr>
        <w:spacing w:after="0" w:line="240" w:lineRule="auto"/>
      </w:pPr>
      <w:r>
        <w:separator/>
      </w:r>
    </w:p>
  </w:footnote>
  <w:footnote w:type="continuationSeparator" w:id="0">
    <w:p w:rsidR="003C06F7" w:rsidRDefault="003C06F7" w:rsidP="00472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640" w:type="dxa"/>
      <w:tblInd w:w="-289" w:type="dxa"/>
      <w:tblLook w:val="04A0" w:firstRow="1" w:lastRow="0" w:firstColumn="1" w:lastColumn="0" w:noHBand="0" w:noVBand="1"/>
    </w:tblPr>
    <w:tblGrid>
      <w:gridCol w:w="7939"/>
      <w:gridCol w:w="1701"/>
    </w:tblGrid>
    <w:tr w:rsidR="005A0031" w:rsidTr="00270447">
      <w:trPr>
        <w:trHeight w:val="1833"/>
      </w:trPr>
      <w:tc>
        <w:tcPr>
          <w:tcW w:w="7939" w:type="dxa"/>
          <w:vAlign w:val="center"/>
        </w:tcPr>
        <w:p w:rsidR="005A0031" w:rsidRPr="003438D3" w:rsidRDefault="005A0031" w:rsidP="005A0031">
          <w:pPr>
            <w:pStyle w:val="Title"/>
            <w:rPr>
              <w:rFonts w:asciiTheme="minorHAnsi" w:hAnsiTheme="minorHAnsi"/>
              <w:b w:val="0"/>
              <w:sz w:val="36"/>
              <w:szCs w:val="36"/>
            </w:rPr>
          </w:pPr>
          <w:r w:rsidRPr="003438D3">
            <w:rPr>
              <w:rFonts w:asciiTheme="minorHAnsi" w:hAnsiTheme="minorHAnsi"/>
              <w:b w:val="0"/>
              <w:sz w:val="36"/>
              <w:szCs w:val="36"/>
            </w:rPr>
            <w:t>drug education &amp; use policy</w:t>
          </w:r>
        </w:p>
      </w:tc>
      <w:tc>
        <w:tcPr>
          <w:tcW w:w="1701" w:type="dxa"/>
          <w:vAlign w:val="center"/>
        </w:tcPr>
        <w:p w:rsidR="005A0031" w:rsidRDefault="005A0031" w:rsidP="005A0031">
          <w:pPr>
            <w:pStyle w:val="Title"/>
            <w:ind w:left="408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3B0E217" wp14:editId="23DE6273">
                <wp:simplePos x="0" y="0"/>
                <wp:positionH relativeFrom="column">
                  <wp:posOffset>-48682</wp:posOffset>
                </wp:positionH>
                <wp:positionV relativeFrom="paragraph">
                  <wp:posOffset>20320</wp:posOffset>
                </wp:positionV>
                <wp:extent cx="910166" cy="795405"/>
                <wp:effectExtent l="0" t="0" r="4445" b="508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0166" cy="795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472AE5" w:rsidRPr="00472AE5" w:rsidRDefault="00472AE5" w:rsidP="00472A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D395E"/>
    <w:multiLevelType w:val="hybridMultilevel"/>
    <w:tmpl w:val="64F6BD7C"/>
    <w:lvl w:ilvl="0" w:tplc="E9A63CAE">
      <w:numFmt w:val="bullet"/>
      <w:lvlText w:val="─"/>
      <w:lvlJc w:val="left"/>
      <w:pPr>
        <w:ind w:left="1287" w:hanging="360"/>
      </w:pPr>
      <w:rPr>
        <w:rFonts w:ascii="Calibri Light" w:eastAsiaTheme="minorHAnsi" w:hAnsi="Calibri Light" w:cstheme="minorBidi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32016FB"/>
    <w:multiLevelType w:val="hybridMultilevel"/>
    <w:tmpl w:val="C58AC0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354A7"/>
    <w:multiLevelType w:val="hybridMultilevel"/>
    <w:tmpl w:val="B9547372"/>
    <w:lvl w:ilvl="0" w:tplc="479812E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93228D"/>
    <w:multiLevelType w:val="hybridMultilevel"/>
    <w:tmpl w:val="4DD447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B39B7"/>
    <w:multiLevelType w:val="hybridMultilevel"/>
    <w:tmpl w:val="DD48C8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42801"/>
    <w:multiLevelType w:val="hybridMultilevel"/>
    <w:tmpl w:val="DB5AB5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95B37"/>
    <w:multiLevelType w:val="hybridMultilevel"/>
    <w:tmpl w:val="3EE09414"/>
    <w:lvl w:ilvl="0" w:tplc="479812E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A0EE6"/>
    <w:multiLevelType w:val="hybridMultilevel"/>
    <w:tmpl w:val="962803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0019BE"/>
    <w:multiLevelType w:val="hybridMultilevel"/>
    <w:tmpl w:val="AB28B61C"/>
    <w:lvl w:ilvl="0" w:tplc="E9A63CAE">
      <w:numFmt w:val="bullet"/>
      <w:lvlText w:val="─"/>
      <w:lvlJc w:val="left"/>
      <w:pPr>
        <w:ind w:left="1287" w:hanging="360"/>
      </w:pPr>
      <w:rPr>
        <w:rFonts w:ascii="Calibri Light" w:eastAsiaTheme="minorHAnsi" w:hAnsi="Calibri Light" w:cstheme="minorBidi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AD9222F"/>
    <w:multiLevelType w:val="hybridMultilevel"/>
    <w:tmpl w:val="1C262986"/>
    <w:lvl w:ilvl="0" w:tplc="479812E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472ED6"/>
    <w:multiLevelType w:val="hybridMultilevel"/>
    <w:tmpl w:val="5028A3E2"/>
    <w:lvl w:ilvl="0" w:tplc="E9A63CAE">
      <w:numFmt w:val="bullet"/>
      <w:lvlText w:val="─"/>
      <w:lvlJc w:val="left"/>
      <w:pPr>
        <w:ind w:left="1287" w:hanging="360"/>
      </w:pPr>
      <w:rPr>
        <w:rFonts w:ascii="Calibri Light" w:eastAsiaTheme="minorHAnsi" w:hAnsi="Calibri Light" w:cstheme="minorBidi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E4908F7"/>
    <w:multiLevelType w:val="hybridMultilevel"/>
    <w:tmpl w:val="39329AC4"/>
    <w:lvl w:ilvl="0" w:tplc="0C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24D1287D"/>
    <w:multiLevelType w:val="hybridMultilevel"/>
    <w:tmpl w:val="0FACB7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5B5285"/>
    <w:multiLevelType w:val="hybridMultilevel"/>
    <w:tmpl w:val="456464CA"/>
    <w:lvl w:ilvl="0" w:tplc="E9A63CAE">
      <w:numFmt w:val="bullet"/>
      <w:lvlText w:val="─"/>
      <w:lvlJc w:val="left"/>
      <w:pPr>
        <w:ind w:left="1287" w:hanging="360"/>
      </w:pPr>
      <w:rPr>
        <w:rFonts w:ascii="Calibri Light" w:eastAsiaTheme="minorHAnsi" w:hAnsi="Calibri Light" w:cstheme="minorBidi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BA51A3C"/>
    <w:multiLevelType w:val="hybridMultilevel"/>
    <w:tmpl w:val="383009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222370"/>
    <w:multiLevelType w:val="hybridMultilevel"/>
    <w:tmpl w:val="546630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9D4EED"/>
    <w:multiLevelType w:val="hybridMultilevel"/>
    <w:tmpl w:val="2DF43BD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3B3768EE"/>
    <w:multiLevelType w:val="hybridMultilevel"/>
    <w:tmpl w:val="3C38BBE8"/>
    <w:lvl w:ilvl="0" w:tplc="9F006F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D34AD5"/>
    <w:multiLevelType w:val="hybridMultilevel"/>
    <w:tmpl w:val="240C3B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54778B"/>
    <w:multiLevelType w:val="hybridMultilevel"/>
    <w:tmpl w:val="9FC48932"/>
    <w:lvl w:ilvl="0" w:tplc="479812EC">
      <w:start w:val="1"/>
      <w:numFmt w:val="bullet"/>
      <w:lvlText w:val="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C6C1FB9"/>
    <w:multiLevelType w:val="hybridMultilevel"/>
    <w:tmpl w:val="4F76B1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070151"/>
    <w:multiLevelType w:val="hybridMultilevel"/>
    <w:tmpl w:val="83C229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A72882"/>
    <w:multiLevelType w:val="hybridMultilevel"/>
    <w:tmpl w:val="6E62262E"/>
    <w:lvl w:ilvl="0" w:tplc="479812E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F35892"/>
    <w:multiLevelType w:val="hybridMultilevel"/>
    <w:tmpl w:val="4808BF54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14859AB"/>
    <w:multiLevelType w:val="hybridMultilevel"/>
    <w:tmpl w:val="6D40AF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586805"/>
    <w:multiLevelType w:val="hybridMultilevel"/>
    <w:tmpl w:val="92F8AFB4"/>
    <w:lvl w:ilvl="0" w:tplc="479812E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D037FD"/>
    <w:multiLevelType w:val="hybridMultilevel"/>
    <w:tmpl w:val="376442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5127BE"/>
    <w:multiLevelType w:val="hybridMultilevel"/>
    <w:tmpl w:val="D30E3A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BC66FA"/>
    <w:multiLevelType w:val="hybridMultilevel"/>
    <w:tmpl w:val="335A5590"/>
    <w:lvl w:ilvl="0" w:tplc="E9A63CAE">
      <w:numFmt w:val="bullet"/>
      <w:lvlText w:val="─"/>
      <w:lvlJc w:val="left"/>
      <w:pPr>
        <w:ind w:left="1287" w:hanging="360"/>
      </w:pPr>
      <w:rPr>
        <w:rFonts w:ascii="Calibri Light" w:eastAsiaTheme="minorHAnsi" w:hAnsi="Calibri Light" w:cstheme="minorBidi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6"/>
  </w:num>
  <w:num w:numId="4">
    <w:abstractNumId w:val="4"/>
  </w:num>
  <w:num w:numId="5">
    <w:abstractNumId w:val="9"/>
  </w:num>
  <w:num w:numId="6">
    <w:abstractNumId w:val="3"/>
  </w:num>
  <w:num w:numId="7">
    <w:abstractNumId w:val="25"/>
  </w:num>
  <w:num w:numId="8">
    <w:abstractNumId w:val="15"/>
  </w:num>
  <w:num w:numId="9">
    <w:abstractNumId w:val="18"/>
  </w:num>
  <w:num w:numId="10">
    <w:abstractNumId w:val="14"/>
  </w:num>
  <w:num w:numId="11">
    <w:abstractNumId w:val="26"/>
  </w:num>
  <w:num w:numId="12">
    <w:abstractNumId w:val="11"/>
  </w:num>
  <w:num w:numId="13">
    <w:abstractNumId w:val="1"/>
  </w:num>
  <w:num w:numId="14">
    <w:abstractNumId w:val="17"/>
  </w:num>
  <w:num w:numId="15">
    <w:abstractNumId w:val="20"/>
  </w:num>
  <w:num w:numId="16">
    <w:abstractNumId w:val="5"/>
  </w:num>
  <w:num w:numId="17">
    <w:abstractNumId w:val="2"/>
  </w:num>
  <w:num w:numId="18">
    <w:abstractNumId w:val="27"/>
  </w:num>
  <w:num w:numId="19">
    <w:abstractNumId w:val="22"/>
  </w:num>
  <w:num w:numId="20">
    <w:abstractNumId w:val="7"/>
  </w:num>
  <w:num w:numId="21">
    <w:abstractNumId w:val="24"/>
  </w:num>
  <w:num w:numId="22">
    <w:abstractNumId w:val="16"/>
  </w:num>
  <w:num w:numId="23">
    <w:abstractNumId w:val="13"/>
  </w:num>
  <w:num w:numId="24">
    <w:abstractNumId w:val="10"/>
  </w:num>
  <w:num w:numId="25">
    <w:abstractNumId w:val="8"/>
  </w:num>
  <w:num w:numId="26">
    <w:abstractNumId w:val="19"/>
  </w:num>
  <w:num w:numId="27">
    <w:abstractNumId w:val="0"/>
  </w:num>
  <w:num w:numId="28">
    <w:abstractNumId w:val="28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F9C"/>
    <w:rsid w:val="00091DD9"/>
    <w:rsid w:val="000E7CC8"/>
    <w:rsid w:val="0011734B"/>
    <w:rsid w:val="00135515"/>
    <w:rsid w:val="001C6B3C"/>
    <w:rsid w:val="00277999"/>
    <w:rsid w:val="002C7F9C"/>
    <w:rsid w:val="003438D3"/>
    <w:rsid w:val="00365E49"/>
    <w:rsid w:val="00371B3E"/>
    <w:rsid w:val="003954A6"/>
    <w:rsid w:val="003C06F7"/>
    <w:rsid w:val="003E64E6"/>
    <w:rsid w:val="00422BDD"/>
    <w:rsid w:val="00472AE5"/>
    <w:rsid w:val="0047651C"/>
    <w:rsid w:val="004A4C2A"/>
    <w:rsid w:val="005565D6"/>
    <w:rsid w:val="005978D2"/>
    <w:rsid w:val="005A0031"/>
    <w:rsid w:val="006342C1"/>
    <w:rsid w:val="00645665"/>
    <w:rsid w:val="007224B2"/>
    <w:rsid w:val="00844B45"/>
    <w:rsid w:val="00912DA4"/>
    <w:rsid w:val="00992023"/>
    <w:rsid w:val="009A2FD7"/>
    <w:rsid w:val="009D5858"/>
    <w:rsid w:val="00A00C10"/>
    <w:rsid w:val="00A146D2"/>
    <w:rsid w:val="00A14E85"/>
    <w:rsid w:val="00A8490A"/>
    <w:rsid w:val="00A9083F"/>
    <w:rsid w:val="00BA20B9"/>
    <w:rsid w:val="00BE2EA6"/>
    <w:rsid w:val="00D578AD"/>
    <w:rsid w:val="00DD4990"/>
    <w:rsid w:val="00E15762"/>
    <w:rsid w:val="00E97516"/>
    <w:rsid w:val="00F36B41"/>
    <w:rsid w:val="00FF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81CA5C"/>
  <w15:chartTrackingRefBased/>
  <w15:docId w15:val="{6353D6AB-E594-4CF4-9987-57FC62205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E49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365E49"/>
    <w:rPr>
      <w:rFonts w:eastAsiaTheme="minorEastAsia"/>
      <w:lang w:eastAsia="en-AU"/>
    </w:rPr>
  </w:style>
  <w:style w:type="character" w:styleId="Hyperlink">
    <w:name w:val="Hyperlink"/>
    <w:basedOn w:val="DefaultParagraphFont"/>
    <w:uiPriority w:val="99"/>
    <w:unhideWhenUsed/>
    <w:rsid w:val="00365E49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65E4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91D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72A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AE5"/>
  </w:style>
  <w:style w:type="paragraph" w:styleId="Title">
    <w:name w:val="Title"/>
    <w:basedOn w:val="Normal"/>
    <w:link w:val="TitleChar"/>
    <w:qFormat/>
    <w:rsid w:val="00472AE5"/>
    <w:pPr>
      <w:spacing w:after="0" w:line="240" w:lineRule="auto"/>
      <w:jc w:val="center"/>
    </w:pPr>
    <w:rPr>
      <w:rFonts w:asciiTheme="majorHAnsi" w:eastAsia="Times New Roman" w:hAnsiTheme="majorHAnsi" w:cs="Times New Roman"/>
      <w:b/>
      <w:cap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472AE5"/>
    <w:rPr>
      <w:rFonts w:asciiTheme="majorHAnsi" w:eastAsia="Times New Roman" w:hAnsiTheme="majorHAnsi" w:cs="Times New Roman"/>
      <w:b/>
      <w:caps/>
      <w:sz w:val="28"/>
      <w:szCs w:val="24"/>
    </w:rPr>
  </w:style>
  <w:style w:type="table" w:styleId="TableGrid">
    <w:name w:val="Table Grid"/>
    <w:basedOn w:val="TableNormal"/>
    <w:rsid w:val="00472AE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Reference">
    <w:name w:val="Subtle Reference"/>
    <w:basedOn w:val="DefaultParagraphFont"/>
    <w:uiPriority w:val="31"/>
    <w:qFormat/>
    <w:rsid w:val="007224B2"/>
    <w:rPr>
      <w:rFonts w:asciiTheme="majorHAnsi" w:hAnsiTheme="majorHAnsi"/>
      <w:smallCaps/>
      <w:color w:val="auto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ducation.vic.gov.au/school/principals/spag/safety/Pages/druguse.aspx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education.vic.gov.au/school/principals/spag/safety/Pages/drugprevention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AB4DE5E705584E950EF497F731B2AC" ma:contentTypeVersion="4" ma:contentTypeDescription="Create a new document." ma:contentTypeScope="" ma:versionID="fcf4fe7d2875eeb93798061f928e28ff">
  <xsd:schema xmlns:xsd="http://www.w3.org/2001/XMLSchema" xmlns:xs="http://www.w3.org/2001/XMLSchema" xmlns:p="http://schemas.microsoft.com/office/2006/metadata/properties" xmlns:ns2="80ebdd2e-2a79-4ec2-9e8a-ba959cb8afdb" xmlns:ns3="70a5c1fa-c721-4e61-8be1-81c4af2d950f" targetNamespace="http://schemas.microsoft.com/office/2006/metadata/properties" ma:root="true" ma:fieldsID="4e1410ca6406d49e8c5a631428ca6131" ns2:_="" ns3:_="">
    <xsd:import namespace="80ebdd2e-2a79-4ec2-9e8a-ba959cb8afdb"/>
    <xsd:import namespace="70a5c1fa-c721-4e61-8be1-81c4af2d95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bdd2e-2a79-4ec2-9e8a-ba959cb8af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5c1fa-c721-4e61-8be1-81c4af2d95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332D4C-50C7-4CC7-AE66-CF2BEA2DF3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ebdd2e-2a79-4ec2-9e8a-ba959cb8afdb"/>
    <ds:schemaRef ds:uri="70a5c1fa-c721-4e61-8be1-81c4af2d95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939905-6330-4DB7-AFF4-4206B53BB5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593123-4B51-431D-B824-42DC4863FF8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</dc:creator>
  <cp:keywords/>
  <dc:description/>
  <cp:lastModifiedBy>Anna Rigoni</cp:lastModifiedBy>
  <cp:revision>11</cp:revision>
  <dcterms:created xsi:type="dcterms:W3CDTF">2017-02-14T03:45:00Z</dcterms:created>
  <dcterms:modified xsi:type="dcterms:W3CDTF">2017-12-31T05:29:00Z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0x01010025AB4DE5E705584E950EF497F731B2AC</vt:lpwstr>
  </property>
</Properties>
</file>