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4D8" w:rsidRPr="00536EE8" w:rsidRDefault="00172D09" w:rsidP="000B24D8">
      <w:pPr>
        <w:pStyle w:val="NoSpacing"/>
        <w:ind w:right="-22"/>
        <w:jc w:val="both"/>
        <w:rPr>
          <w:rFonts w:asciiTheme="majorHAnsi" w:hAnsiTheme="majorHAnsi"/>
          <w:sz w:val="24"/>
          <w:szCs w:val="24"/>
          <w:u w:val="single"/>
          <w:lang w:eastAsia="en-AU"/>
        </w:rPr>
      </w:pPr>
      <w:r w:rsidRPr="00536EE8">
        <w:rPr>
          <w:rFonts w:asciiTheme="majorHAnsi" w:hAnsiTheme="majorHAnsi"/>
          <w:sz w:val="24"/>
          <w:szCs w:val="24"/>
          <w:u w:val="single"/>
          <w:lang w:eastAsia="en-AU"/>
        </w:rPr>
        <w:t>Rationale</w:t>
      </w:r>
    </w:p>
    <w:p w:rsidR="00172D09" w:rsidRPr="00536EE8" w:rsidRDefault="00172D09" w:rsidP="000B24D8">
      <w:pPr>
        <w:pStyle w:val="NoSpacing"/>
        <w:ind w:right="-22"/>
        <w:jc w:val="both"/>
        <w:rPr>
          <w:rFonts w:asciiTheme="majorHAnsi" w:hAnsiTheme="majorHAnsi"/>
          <w:sz w:val="24"/>
          <w:szCs w:val="24"/>
          <w:u w:val="single"/>
          <w:lang w:eastAsia="en-AU"/>
        </w:rPr>
      </w:pPr>
      <w:r w:rsidRPr="00536EE8">
        <w:rPr>
          <w:rFonts w:asciiTheme="majorHAnsi" w:hAnsiTheme="majorHAnsi" w:cs="Arial"/>
          <w:sz w:val="24"/>
          <w:szCs w:val="24"/>
        </w:rPr>
        <w:t>Our ability to use others’ intellectual property (IP) has increased with developments in technology</w:t>
      </w:r>
      <w:r w:rsidR="000B24D8" w:rsidRPr="00536EE8">
        <w:rPr>
          <w:rFonts w:asciiTheme="majorHAnsi" w:hAnsiTheme="majorHAnsi" w:cs="Arial"/>
          <w:sz w:val="24"/>
          <w:szCs w:val="24"/>
        </w:rPr>
        <w:t xml:space="preserve">, </w:t>
      </w:r>
      <w:r w:rsidRPr="00536EE8">
        <w:rPr>
          <w:rFonts w:asciiTheme="majorHAnsi" w:hAnsiTheme="majorHAnsi" w:cs="Arial"/>
          <w:sz w:val="24"/>
          <w:szCs w:val="24"/>
        </w:rPr>
        <w:t xml:space="preserve">as has </w:t>
      </w:r>
      <w:proofErr w:type="gramStart"/>
      <w:r w:rsidRPr="00536EE8">
        <w:rPr>
          <w:rFonts w:asciiTheme="majorHAnsi" w:hAnsiTheme="majorHAnsi" w:cs="Arial"/>
          <w:sz w:val="24"/>
          <w:szCs w:val="24"/>
        </w:rPr>
        <w:t>other</w:t>
      </w:r>
      <w:proofErr w:type="gramEnd"/>
      <w:r w:rsidRPr="00536EE8">
        <w:rPr>
          <w:rFonts w:asciiTheme="majorHAnsi" w:hAnsiTheme="majorHAnsi" w:cs="Arial"/>
          <w:sz w:val="24"/>
          <w:szCs w:val="24"/>
        </w:rPr>
        <w:t xml:space="preserve"> people’s ability to use the Department’s IP.  It is increasingly important that we understand how to use others’ IP.  One reason is to help us manage our copyright costs effectively and another is to avoid copyright infringement.  At the same time, we need to ensure that we protect the DET’s IP.</w:t>
      </w:r>
    </w:p>
    <w:p w:rsidR="00172D09" w:rsidRPr="00536EE8" w:rsidRDefault="00172D09" w:rsidP="000B24D8">
      <w:pPr>
        <w:pStyle w:val="NoSpacing"/>
        <w:numPr>
          <w:ilvl w:val="0"/>
          <w:numId w:val="7"/>
        </w:numPr>
        <w:ind w:right="-22"/>
        <w:jc w:val="both"/>
        <w:rPr>
          <w:rFonts w:asciiTheme="majorHAnsi" w:hAnsiTheme="majorHAnsi"/>
          <w:sz w:val="24"/>
          <w:szCs w:val="24"/>
        </w:rPr>
      </w:pPr>
      <w:r w:rsidRPr="00536EE8">
        <w:rPr>
          <w:rFonts w:asciiTheme="majorHAnsi" w:hAnsiTheme="majorHAnsi"/>
          <w:sz w:val="24"/>
          <w:szCs w:val="24"/>
        </w:rPr>
        <w:t>The Intellectual Property (IP) Register is a central repository of information relating to IP that is or has been within the DET's control. This includes information about:</w:t>
      </w:r>
    </w:p>
    <w:p w:rsidR="00172D09" w:rsidRPr="00536EE8" w:rsidRDefault="00172D09" w:rsidP="000B24D8">
      <w:pPr>
        <w:pStyle w:val="NoSpacing"/>
        <w:numPr>
          <w:ilvl w:val="0"/>
          <w:numId w:val="7"/>
        </w:numPr>
        <w:ind w:right="-22"/>
        <w:jc w:val="both"/>
        <w:rPr>
          <w:rFonts w:asciiTheme="majorHAnsi" w:hAnsiTheme="majorHAnsi"/>
          <w:sz w:val="24"/>
          <w:szCs w:val="24"/>
        </w:rPr>
      </w:pPr>
      <w:r w:rsidRPr="00536EE8">
        <w:rPr>
          <w:rFonts w:asciiTheme="majorHAnsi" w:hAnsiTheme="majorHAnsi"/>
          <w:sz w:val="24"/>
          <w:szCs w:val="24"/>
        </w:rPr>
        <w:t>IP created and owned by the Department</w:t>
      </w:r>
    </w:p>
    <w:p w:rsidR="00172D09" w:rsidRPr="00536EE8" w:rsidRDefault="00172D09" w:rsidP="000B24D8">
      <w:pPr>
        <w:pStyle w:val="NoSpacing"/>
        <w:numPr>
          <w:ilvl w:val="0"/>
          <w:numId w:val="7"/>
        </w:numPr>
        <w:ind w:right="-22"/>
        <w:jc w:val="both"/>
        <w:rPr>
          <w:rFonts w:asciiTheme="majorHAnsi" w:hAnsiTheme="majorHAnsi"/>
          <w:sz w:val="24"/>
          <w:szCs w:val="24"/>
        </w:rPr>
      </w:pPr>
      <w:r w:rsidRPr="00536EE8">
        <w:rPr>
          <w:rFonts w:asciiTheme="majorHAnsi" w:hAnsiTheme="majorHAnsi"/>
          <w:sz w:val="24"/>
          <w:szCs w:val="24"/>
        </w:rPr>
        <w:t>IP owned by third parties and ‘licensed in’ by the DET</w:t>
      </w:r>
    </w:p>
    <w:p w:rsidR="00172D09" w:rsidRPr="00536EE8" w:rsidRDefault="00172D09" w:rsidP="000B24D8">
      <w:pPr>
        <w:pStyle w:val="NoSpacing"/>
        <w:numPr>
          <w:ilvl w:val="0"/>
          <w:numId w:val="7"/>
        </w:numPr>
        <w:ind w:right="-22"/>
        <w:jc w:val="both"/>
        <w:rPr>
          <w:rFonts w:asciiTheme="majorHAnsi" w:hAnsiTheme="majorHAnsi"/>
          <w:sz w:val="24"/>
          <w:szCs w:val="24"/>
        </w:rPr>
      </w:pPr>
      <w:r w:rsidRPr="00536EE8">
        <w:rPr>
          <w:rFonts w:asciiTheme="majorHAnsi" w:hAnsiTheme="majorHAnsi"/>
          <w:sz w:val="24"/>
          <w:szCs w:val="24"/>
        </w:rPr>
        <w:t>The IP Register will assist DET staff to:</w:t>
      </w:r>
    </w:p>
    <w:p w:rsidR="00172D09" w:rsidRPr="00536EE8" w:rsidRDefault="00172D09" w:rsidP="00536EE8">
      <w:pPr>
        <w:pStyle w:val="NoSpacing"/>
        <w:numPr>
          <w:ilvl w:val="0"/>
          <w:numId w:val="8"/>
        </w:numPr>
        <w:ind w:left="1134" w:right="-22" w:hanging="425"/>
        <w:jc w:val="both"/>
        <w:rPr>
          <w:rFonts w:asciiTheme="majorHAnsi" w:hAnsiTheme="majorHAnsi"/>
          <w:sz w:val="24"/>
          <w:szCs w:val="24"/>
        </w:rPr>
      </w:pPr>
      <w:r w:rsidRPr="00536EE8">
        <w:rPr>
          <w:rFonts w:asciiTheme="majorHAnsi" w:hAnsiTheme="majorHAnsi"/>
          <w:sz w:val="24"/>
          <w:szCs w:val="24"/>
        </w:rPr>
        <w:t>minimise the risk of infringing third party intellectual property rights</w:t>
      </w:r>
    </w:p>
    <w:p w:rsidR="00172D09" w:rsidRPr="00536EE8" w:rsidRDefault="00172D09" w:rsidP="00536EE8">
      <w:pPr>
        <w:pStyle w:val="NoSpacing"/>
        <w:numPr>
          <w:ilvl w:val="0"/>
          <w:numId w:val="8"/>
        </w:numPr>
        <w:ind w:left="1134" w:right="-22" w:hanging="425"/>
        <w:jc w:val="both"/>
        <w:rPr>
          <w:rFonts w:asciiTheme="majorHAnsi" w:hAnsiTheme="majorHAnsi"/>
          <w:sz w:val="24"/>
          <w:szCs w:val="24"/>
        </w:rPr>
      </w:pPr>
      <w:r w:rsidRPr="00536EE8">
        <w:rPr>
          <w:rFonts w:asciiTheme="majorHAnsi" w:hAnsiTheme="majorHAnsi"/>
          <w:sz w:val="24"/>
          <w:szCs w:val="24"/>
        </w:rPr>
        <w:t>minimise licensing costs</w:t>
      </w:r>
    </w:p>
    <w:p w:rsidR="00172D09" w:rsidRPr="00536EE8" w:rsidRDefault="00172D09" w:rsidP="00536EE8">
      <w:pPr>
        <w:pStyle w:val="NoSpacing"/>
        <w:numPr>
          <w:ilvl w:val="0"/>
          <w:numId w:val="8"/>
        </w:numPr>
        <w:ind w:left="1134" w:right="-22" w:hanging="425"/>
        <w:jc w:val="both"/>
        <w:rPr>
          <w:rFonts w:asciiTheme="majorHAnsi" w:hAnsiTheme="majorHAnsi"/>
          <w:sz w:val="24"/>
          <w:szCs w:val="24"/>
        </w:rPr>
      </w:pPr>
      <w:r w:rsidRPr="00536EE8">
        <w:rPr>
          <w:rFonts w:asciiTheme="majorHAnsi" w:hAnsiTheme="majorHAnsi"/>
          <w:sz w:val="24"/>
          <w:szCs w:val="24"/>
        </w:rPr>
        <w:t>reduce the amount of copyright royalties paid by the DET</w:t>
      </w:r>
    </w:p>
    <w:p w:rsidR="00172D09" w:rsidRPr="00536EE8" w:rsidRDefault="00172D09" w:rsidP="00536EE8">
      <w:pPr>
        <w:pStyle w:val="NoSpacing"/>
        <w:numPr>
          <w:ilvl w:val="0"/>
          <w:numId w:val="8"/>
        </w:numPr>
        <w:ind w:left="1134" w:right="-22" w:hanging="425"/>
        <w:jc w:val="both"/>
        <w:rPr>
          <w:rFonts w:asciiTheme="majorHAnsi" w:hAnsiTheme="majorHAnsi"/>
          <w:sz w:val="24"/>
          <w:szCs w:val="24"/>
        </w:rPr>
      </w:pPr>
      <w:r w:rsidRPr="00536EE8">
        <w:rPr>
          <w:rFonts w:asciiTheme="majorHAnsi" w:hAnsiTheme="majorHAnsi"/>
          <w:sz w:val="24"/>
          <w:szCs w:val="24"/>
        </w:rPr>
        <w:t>enable the DET to meet statutory reporting requirements relating to intangible assets</w:t>
      </w:r>
    </w:p>
    <w:p w:rsidR="00172D09" w:rsidRPr="00536EE8" w:rsidRDefault="00172D09" w:rsidP="000B24D8">
      <w:pPr>
        <w:pStyle w:val="NoSpacing"/>
        <w:ind w:right="-22"/>
        <w:jc w:val="both"/>
        <w:rPr>
          <w:rFonts w:asciiTheme="majorHAnsi" w:hAnsiTheme="majorHAnsi"/>
          <w:sz w:val="24"/>
          <w:szCs w:val="24"/>
        </w:rPr>
      </w:pPr>
    </w:p>
    <w:p w:rsidR="00172D09" w:rsidRPr="00536EE8" w:rsidRDefault="00172D09" w:rsidP="000B24D8">
      <w:pPr>
        <w:pStyle w:val="NoSpacing"/>
        <w:ind w:right="-22"/>
        <w:jc w:val="both"/>
        <w:rPr>
          <w:rFonts w:asciiTheme="majorHAnsi" w:hAnsiTheme="majorHAnsi"/>
          <w:sz w:val="24"/>
          <w:szCs w:val="24"/>
          <w:u w:val="single"/>
          <w:lang w:eastAsia="en-AU"/>
        </w:rPr>
      </w:pPr>
      <w:r w:rsidRPr="00536EE8">
        <w:rPr>
          <w:rFonts w:asciiTheme="majorHAnsi" w:hAnsiTheme="majorHAnsi"/>
          <w:sz w:val="24"/>
          <w:szCs w:val="24"/>
          <w:u w:val="single"/>
          <w:lang w:eastAsia="en-AU"/>
        </w:rPr>
        <w:t>Purpose</w:t>
      </w:r>
    </w:p>
    <w:p w:rsidR="00172D09" w:rsidRPr="00536EE8" w:rsidRDefault="00172D09" w:rsidP="000B24D8">
      <w:pPr>
        <w:pStyle w:val="NoSpacing"/>
        <w:numPr>
          <w:ilvl w:val="0"/>
          <w:numId w:val="9"/>
        </w:numPr>
        <w:ind w:right="-22"/>
        <w:jc w:val="both"/>
        <w:rPr>
          <w:rFonts w:asciiTheme="majorHAnsi" w:hAnsiTheme="majorHAnsi"/>
          <w:sz w:val="24"/>
          <w:szCs w:val="24"/>
        </w:rPr>
      </w:pPr>
      <w:r w:rsidRPr="00536EE8">
        <w:rPr>
          <w:rFonts w:asciiTheme="majorHAnsi" w:hAnsiTheme="majorHAnsi" w:cs="Arial"/>
          <w:sz w:val="24"/>
          <w:szCs w:val="24"/>
        </w:rPr>
        <w:t xml:space="preserve">To ensure </w:t>
      </w:r>
      <w:r w:rsidR="00DD287E" w:rsidRPr="00536EE8">
        <w:rPr>
          <w:rFonts w:asciiTheme="majorHAnsi" w:hAnsiTheme="majorHAnsi" w:cs="Arial"/>
          <w:sz w:val="24"/>
          <w:szCs w:val="24"/>
        </w:rPr>
        <w:t>Charles La Trobe College</w:t>
      </w:r>
      <w:r w:rsidRPr="00536EE8">
        <w:rPr>
          <w:rFonts w:asciiTheme="majorHAnsi" w:hAnsiTheme="majorHAnsi" w:cs="Arial"/>
          <w:sz w:val="24"/>
          <w:szCs w:val="24"/>
        </w:rPr>
        <w:t xml:space="preserve"> complies with DET policy and guidelines and the legislative requirements of the </w:t>
      </w:r>
      <w:r w:rsidRPr="00536EE8">
        <w:rPr>
          <w:rFonts w:asciiTheme="majorHAnsi" w:hAnsiTheme="majorHAnsi" w:cs="Arial"/>
          <w:i/>
          <w:sz w:val="24"/>
          <w:szCs w:val="24"/>
        </w:rPr>
        <w:t>Copyright Act 1968</w:t>
      </w:r>
      <w:r w:rsidRPr="00536EE8">
        <w:rPr>
          <w:rFonts w:asciiTheme="majorHAnsi" w:hAnsiTheme="majorHAnsi" w:cs="Arial"/>
          <w:sz w:val="24"/>
          <w:szCs w:val="24"/>
        </w:rPr>
        <w:t>.</w:t>
      </w:r>
    </w:p>
    <w:p w:rsidR="00172D09" w:rsidRPr="00536EE8" w:rsidRDefault="00172D09" w:rsidP="000B24D8">
      <w:pPr>
        <w:pStyle w:val="NoSpacing"/>
        <w:numPr>
          <w:ilvl w:val="0"/>
          <w:numId w:val="9"/>
        </w:numPr>
        <w:ind w:right="-22"/>
        <w:jc w:val="both"/>
        <w:rPr>
          <w:rFonts w:asciiTheme="majorHAnsi" w:hAnsiTheme="majorHAnsi" w:cs="Arial"/>
          <w:sz w:val="24"/>
          <w:szCs w:val="24"/>
        </w:rPr>
      </w:pPr>
      <w:r w:rsidRPr="00536EE8">
        <w:rPr>
          <w:rFonts w:asciiTheme="majorHAnsi" w:hAnsiTheme="majorHAnsi" w:cs="Arial"/>
          <w:sz w:val="24"/>
          <w:szCs w:val="24"/>
        </w:rPr>
        <w:t>To ensure the school is aware of those aspects of school management that the DET specifically draws to the attention of schools.</w:t>
      </w:r>
    </w:p>
    <w:p w:rsidR="00172D09" w:rsidRPr="00536EE8" w:rsidRDefault="00172D09" w:rsidP="000B24D8">
      <w:pPr>
        <w:pStyle w:val="NoSpacing"/>
        <w:ind w:left="743" w:right="-22"/>
        <w:jc w:val="both"/>
        <w:rPr>
          <w:rFonts w:asciiTheme="majorHAnsi" w:hAnsiTheme="majorHAnsi"/>
          <w:sz w:val="24"/>
          <w:szCs w:val="24"/>
        </w:rPr>
      </w:pPr>
    </w:p>
    <w:p w:rsidR="00172D09" w:rsidRPr="00536EE8" w:rsidRDefault="00172D09" w:rsidP="000B24D8">
      <w:pPr>
        <w:pStyle w:val="NoSpacing"/>
        <w:ind w:right="-22"/>
        <w:jc w:val="both"/>
        <w:rPr>
          <w:rFonts w:asciiTheme="majorHAnsi" w:hAnsiTheme="majorHAnsi"/>
          <w:sz w:val="24"/>
          <w:szCs w:val="24"/>
          <w:u w:val="single"/>
        </w:rPr>
      </w:pPr>
      <w:r w:rsidRPr="00536EE8">
        <w:rPr>
          <w:rFonts w:asciiTheme="majorHAnsi" w:hAnsiTheme="majorHAnsi"/>
          <w:sz w:val="24"/>
          <w:szCs w:val="24"/>
          <w:u w:val="single"/>
        </w:rPr>
        <w:t>Definition</w:t>
      </w:r>
    </w:p>
    <w:p w:rsidR="00172D09" w:rsidRPr="00536EE8" w:rsidRDefault="00172D09" w:rsidP="000B24D8">
      <w:pPr>
        <w:pStyle w:val="NoSpacing"/>
        <w:ind w:right="-22"/>
        <w:jc w:val="both"/>
        <w:rPr>
          <w:rFonts w:asciiTheme="majorHAnsi" w:hAnsiTheme="majorHAnsi"/>
          <w:sz w:val="24"/>
          <w:szCs w:val="24"/>
        </w:rPr>
      </w:pPr>
      <w:r w:rsidRPr="00536EE8">
        <w:rPr>
          <w:rFonts w:asciiTheme="majorHAnsi" w:hAnsiTheme="majorHAnsi"/>
          <w:sz w:val="24"/>
          <w:szCs w:val="24"/>
        </w:rPr>
        <w:t xml:space="preserve">Copyright refers to the legal rights that result when ideas are captured in material form – such as in a book, a report or a software program. These rights give the creator - or copyright owner - the ability to control some ways in which the material is used. For example, the copyright owner can control by whom and in what way the original material is reproduced and communicated (other than to the extent that the </w:t>
      </w:r>
      <w:r w:rsidRPr="00536EE8">
        <w:rPr>
          <w:rFonts w:asciiTheme="majorHAnsi" w:hAnsiTheme="majorHAnsi"/>
          <w:i/>
          <w:sz w:val="24"/>
          <w:szCs w:val="24"/>
        </w:rPr>
        <w:t>Copyright Act 1968</w:t>
      </w:r>
      <w:r w:rsidRPr="00536EE8">
        <w:rPr>
          <w:rFonts w:asciiTheme="majorHAnsi" w:hAnsiTheme="majorHAnsi"/>
          <w:sz w:val="24"/>
          <w:szCs w:val="24"/>
        </w:rPr>
        <w:t xml:space="preserve"> (</w:t>
      </w:r>
      <w:proofErr w:type="spellStart"/>
      <w:r w:rsidRPr="00536EE8">
        <w:rPr>
          <w:rFonts w:asciiTheme="majorHAnsi" w:hAnsiTheme="majorHAnsi"/>
          <w:sz w:val="24"/>
          <w:szCs w:val="24"/>
        </w:rPr>
        <w:t>Cth</w:t>
      </w:r>
      <w:proofErr w:type="spellEnd"/>
      <w:r w:rsidRPr="00536EE8">
        <w:rPr>
          <w:rFonts w:asciiTheme="majorHAnsi" w:hAnsiTheme="majorHAnsi"/>
          <w:sz w:val="24"/>
          <w:szCs w:val="24"/>
        </w:rPr>
        <w:t>) allows reproduction and communication without the permission of the copyright owner).</w:t>
      </w:r>
    </w:p>
    <w:p w:rsidR="00172D09" w:rsidRPr="00536EE8" w:rsidRDefault="00172D09" w:rsidP="000B24D8">
      <w:pPr>
        <w:pStyle w:val="NoSpacing"/>
        <w:ind w:right="-22"/>
        <w:jc w:val="both"/>
        <w:rPr>
          <w:rFonts w:asciiTheme="majorHAnsi" w:hAnsiTheme="majorHAnsi"/>
          <w:sz w:val="24"/>
          <w:szCs w:val="24"/>
        </w:rPr>
      </w:pPr>
    </w:p>
    <w:p w:rsidR="00172D09" w:rsidRPr="00536EE8" w:rsidRDefault="00172D09" w:rsidP="000B24D8">
      <w:pPr>
        <w:pStyle w:val="NoSpacing"/>
        <w:ind w:right="-22"/>
        <w:jc w:val="both"/>
        <w:rPr>
          <w:rFonts w:asciiTheme="majorHAnsi" w:hAnsiTheme="majorHAnsi"/>
          <w:sz w:val="24"/>
          <w:szCs w:val="24"/>
        </w:rPr>
      </w:pPr>
      <w:r w:rsidRPr="00536EE8">
        <w:rPr>
          <w:rFonts w:asciiTheme="majorHAnsi" w:hAnsiTheme="majorHAnsi"/>
          <w:sz w:val="24"/>
          <w:szCs w:val="24"/>
        </w:rPr>
        <w:t>Copyright is one kind of intellectual property, and the kind that we encounter most frequently. Other kinds of intellectual property are trademarks, patents, designs, circuit layout rights, plant breeder's rights and trade secrets. </w:t>
      </w:r>
    </w:p>
    <w:p w:rsidR="00172D09" w:rsidRPr="00536EE8" w:rsidRDefault="00172D09" w:rsidP="000B24D8">
      <w:pPr>
        <w:pStyle w:val="NoSpacing"/>
        <w:ind w:right="-22"/>
        <w:jc w:val="both"/>
        <w:rPr>
          <w:rFonts w:asciiTheme="majorHAnsi" w:hAnsiTheme="majorHAnsi"/>
          <w:sz w:val="24"/>
          <w:szCs w:val="24"/>
        </w:rPr>
      </w:pPr>
    </w:p>
    <w:p w:rsidR="00172D09" w:rsidRPr="00536EE8" w:rsidRDefault="00172D09" w:rsidP="000B24D8">
      <w:pPr>
        <w:pStyle w:val="NoSpacing"/>
        <w:ind w:right="-22"/>
        <w:jc w:val="both"/>
        <w:rPr>
          <w:rFonts w:asciiTheme="majorHAnsi" w:hAnsiTheme="majorHAnsi"/>
          <w:sz w:val="24"/>
          <w:szCs w:val="24"/>
        </w:rPr>
      </w:pPr>
      <w:r w:rsidRPr="00536EE8">
        <w:rPr>
          <w:rFonts w:asciiTheme="majorHAnsi" w:hAnsiTheme="majorHAnsi"/>
          <w:sz w:val="24"/>
          <w:szCs w:val="24"/>
        </w:rPr>
        <w:t xml:space="preserve">Copyright is the legal means by which authors and other creators </w:t>
      </w:r>
      <w:proofErr w:type="gramStart"/>
      <w:r w:rsidRPr="00536EE8">
        <w:rPr>
          <w:rFonts w:asciiTheme="majorHAnsi" w:hAnsiTheme="majorHAnsi"/>
          <w:sz w:val="24"/>
          <w:szCs w:val="24"/>
        </w:rPr>
        <w:t>are able to</w:t>
      </w:r>
      <w:proofErr w:type="gramEnd"/>
      <w:r w:rsidRPr="00536EE8">
        <w:rPr>
          <w:rFonts w:asciiTheme="majorHAnsi" w:hAnsiTheme="majorHAnsi"/>
          <w:sz w:val="24"/>
          <w:szCs w:val="24"/>
        </w:rPr>
        <w:t xml:space="preserve"> earn a profit from their work.</w:t>
      </w:r>
    </w:p>
    <w:p w:rsidR="00172D09" w:rsidRPr="00536EE8" w:rsidRDefault="00172D09" w:rsidP="000B24D8">
      <w:pPr>
        <w:pStyle w:val="NoSpacing"/>
        <w:ind w:right="-22"/>
        <w:jc w:val="both"/>
        <w:rPr>
          <w:rFonts w:asciiTheme="majorHAnsi" w:hAnsiTheme="majorHAnsi"/>
          <w:sz w:val="24"/>
          <w:szCs w:val="24"/>
        </w:rPr>
      </w:pPr>
    </w:p>
    <w:p w:rsidR="00172D09" w:rsidRPr="00536EE8" w:rsidRDefault="00172D09" w:rsidP="000B24D8">
      <w:pPr>
        <w:pStyle w:val="NoSpacing"/>
        <w:ind w:right="-22"/>
        <w:jc w:val="both"/>
        <w:rPr>
          <w:rFonts w:asciiTheme="majorHAnsi" w:hAnsiTheme="majorHAnsi"/>
          <w:sz w:val="24"/>
          <w:szCs w:val="24"/>
          <w:u w:val="single"/>
        </w:rPr>
      </w:pPr>
      <w:r w:rsidRPr="00536EE8">
        <w:rPr>
          <w:rFonts w:asciiTheme="majorHAnsi" w:hAnsiTheme="majorHAnsi"/>
          <w:sz w:val="24"/>
          <w:szCs w:val="24"/>
          <w:u w:val="single"/>
        </w:rPr>
        <w:t>Implementation</w:t>
      </w:r>
    </w:p>
    <w:p w:rsidR="00172D09" w:rsidRPr="00536EE8" w:rsidRDefault="00172D09" w:rsidP="000B24D8">
      <w:pPr>
        <w:pStyle w:val="NoSpacing"/>
        <w:numPr>
          <w:ilvl w:val="0"/>
          <w:numId w:val="2"/>
        </w:numPr>
        <w:ind w:right="-22"/>
        <w:jc w:val="both"/>
        <w:rPr>
          <w:rFonts w:asciiTheme="majorHAnsi" w:hAnsiTheme="majorHAnsi"/>
          <w:sz w:val="24"/>
          <w:szCs w:val="24"/>
        </w:rPr>
      </w:pPr>
      <w:r w:rsidRPr="00536EE8">
        <w:rPr>
          <w:rFonts w:asciiTheme="majorHAnsi" w:hAnsiTheme="majorHAnsi"/>
          <w:sz w:val="24"/>
          <w:szCs w:val="24"/>
        </w:rPr>
        <w:t xml:space="preserve">The school will refer to the DET’s Intellectual Property and Copyright website for general information about the DET’s policy and guidelines see: </w:t>
      </w:r>
      <w:hyperlink r:id="rId10" w:history="1">
        <w:r w:rsidRPr="00536EE8">
          <w:rPr>
            <w:rFonts w:asciiTheme="majorHAnsi" w:hAnsiTheme="majorHAnsi"/>
            <w:sz w:val="24"/>
            <w:szCs w:val="24"/>
          </w:rPr>
          <w:t>Intellectual Property and Copyright</w:t>
        </w:r>
      </w:hyperlink>
      <w:r w:rsidRPr="00536EE8">
        <w:rPr>
          <w:rFonts w:asciiTheme="majorHAnsi" w:hAnsiTheme="majorHAnsi"/>
          <w:sz w:val="24"/>
          <w:szCs w:val="24"/>
        </w:rPr>
        <w:t>.</w:t>
      </w:r>
    </w:p>
    <w:p w:rsidR="00172D09" w:rsidRPr="00536EE8" w:rsidRDefault="00172D09" w:rsidP="000B24D8">
      <w:pPr>
        <w:pStyle w:val="NoSpacing"/>
        <w:numPr>
          <w:ilvl w:val="0"/>
          <w:numId w:val="5"/>
        </w:numPr>
        <w:ind w:right="-22"/>
        <w:jc w:val="both"/>
        <w:rPr>
          <w:rFonts w:asciiTheme="majorHAnsi" w:hAnsiTheme="majorHAnsi"/>
          <w:color w:val="0072BC"/>
          <w:sz w:val="24"/>
          <w:szCs w:val="24"/>
        </w:rPr>
      </w:pPr>
      <w:r w:rsidRPr="00536EE8">
        <w:rPr>
          <w:rFonts w:asciiTheme="majorHAnsi" w:hAnsiTheme="majorHAnsi"/>
          <w:sz w:val="24"/>
          <w:szCs w:val="24"/>
        </w:rPr>
        <w:t xml:space="preserve">The school will refer to the DET’s </w:t>
      </w:r>
      <w:proofErr w:type="spellStart"/>
      <w:r w:rsidRPr="00536EE8">
        <w:rPr>
          <w:rFonts w:asciiTheme="majorHAnsi" w:hAnsiTheme="majorHAnsi"/>
          <w:sz w:val="24"/>
          <w:szCs w:val="24"/>
        </w:rPr>
        <w:t>Smartcopying</w:t>
      </w:r>
      <w:proofErr w:type="spellEnd"/>
      <w:r w:rsidRPr="00536EE8">
        <w:rPr>
          <w:rFonts w:asciiTheme="majorHAnsi" w:hAnsiTheme="majorHAnsi"/>
          <w:sz w:val="24"/>
          <w:szCs w:val="24"/>
        </w:rPr>
        <w:t xml:space="preserve"> website for comprehensive information about educators’ rights to use copyright see: </w:t>
      </w:r>
      <w:proofErr w:type="spellStart"/>
      <w:r w:rsidRPr="00536EE8">
        <w:rPr>
          <w:rFonts w:asciiTheme="majorHAnsi" w:hAnsiTheme="majorHAnsi"/>
          <w:color w:val="0072BC"/>
          <w:sz w:val="24"/>
          <w:szCs w:val="24"/>
        </w:rPr>
        <w:t>Smartcopying</w:t>
      </w:r>
      <w:proofErr w:type="spellEnd"/>
      <w:r w:rsidRPr="00536EE8">
        <w:rPr>
          <w:rFonts w:asciiTheme="majorHAnsi" w:hAnsiTheme="majorHAnsi"/>
          <w:color w:val="0072BC"/>
          <w:sz w:val="24"/>
          <w:szCs w:val="24"/>
        </w:rPr>
        <w:t>. </w:t>
      </w:r>
    </w:p>
    <w:p w:rsidR="00172D09" w:rsidRPr="00536EE8" w:rsidRDefault="00172D09" w:rsidP="000B24D8">
      <w:pPr>
        <w:pStyle w:val="NoSpacing"/>
        <w:numPr>
          <w:ilvl w:val="0"/>
          <w:numId w:val="2"/>
        </w:numPr>
        <w:ind w:right="-22"/>
        <w:jc w:val="both"/>
        <w:rPr>
          <w:rFonts w:asciiTheme="majorHAnsi" w:hAnsiTheme="majorHAnsi"/>
          <w:sz w:val="24"/>
          <w:szCs w:val="24"/>
        </w:rPr>
      </w:pPr>
      <w:r w:rsidRPr="00536EE8">
        <w:rPr>
          <w:rFonts w:asciiTheme="majorHAnsi" w:hAnsiTheme="majorHAnsi"/>
          <w:sz w:val="24"/>
          <w:szCs w:val="24"/>
        </w:rPr>
        <w:t>This information includes:</w:t>
      </w:r>
    </w:p>
    <w:p w:rsidR="00172D09" w:rsidRPr="00536EE8" w:rsidRDefault="00172D09" w:rsidP="000B24D8">
      <w:pPr>
        <w:pStyle w:val="NoSpacing"/>
        <w:numPr>
          <w:ilvl w:val="0"/>
          <w:numId w:val="3"/>
        </w:numPr>
        <w:ind w:left="1310" w:right="-22" w:hanging="284"/>
        <w:jc w:val="both"/>
        <w:rPr>
          <w:rFonts w:asciiTheme="majorHAnsi" w:hAnsiTheme="majorHAnsi"/>
          <w:sz w:val="24"/>
          <w:szCs w:val="24"/>
        </w:rPr>
      </w:pPr>
      <w:r w:rsidRPr="00536EE8">
        <w:rPr>
          <w:rFonts w:asciiTheme="majorHAnsi" w:hAnsiTheme="majorHAnsi"/>
          <w:sz w:val="24"/>
          <w:szCs w:val="24"/>
        </w:rPr>
        <w:lastRenderedPageBreak/>
        <w:t xml:space="preserve">Information about educators’ rights to use copyright including: </w:t>
      </w:r>
    </w:p>
    <w:p w:rsidR="00172D09" w:rsidRPr="00536EE8" w:rsidRDefault="00172D09" w:rsidP="000B24D8">
      <w:pPr>
        <w:pStyle w:val="NoSpacing"/>
        <w:numPr>
          <w:ilvl w:val="0"/>
          <w:numId w:val="3"/>
        </w:numPr>
        <w:ind w:left="1310" w:right="-22" w:hanging="284"/>
        <w:jc w:val="both"/>
        <w:rPr>
          <w:rFonts w:asciiTheme="majorHAnsi" w:hAnsiTheme="majorHAnsi"/>
          <w:sz w:val="24"/>
          <w:szCs w:val="24"/>
        </w:rPr>
      </w:pPr>
      <w:r w:rsidRPr="00536EE8">
        <w:rPr>
          <w:rFonts w:asciiTheme="majorHAnsi" w:hAnsiTheme="majorHAnsi"/>
          <w:sz w:val="24"/>
          <w:szCs w:val="24"/>
        </w:rPr>
        <w:t xml:space="preserve">National Copyright Guidelines incorporating information about the major education licences and an explanation of fair dealing and educational exceptions under the </w:t>
      </w:r>
      <w:r w:rsidRPr="00536EE8">
        <w:rPr>
          <w:rFonts w:asciiTheme="majorHAnsi" w:hAnsiTheme="majorHAnsi"/>
          <w:i/>
          <w:iCs/>
          <w:sz w:val="24"/>
          <w:szCs w:val="24"/>
        </w:rPr>
        <w:t>Copyright Act 1968</w:t>
      </w:r>
    </w:p>
    <w:p w:rsidR="00172D09" w:rsidRPr="00536EE8" w:rsidRDefault="00172D09" w:rsidP="000B24D8">
      <w:pPr>
        <w:pStyle w:val="NoSpacing"/>
        <w:numPr>
          <w:ilvl w:val="0"/>
          <w:numId w:val="3"/>
        </w:numPr>
        <w:ind w:left="1310" w:right="-22" w:hanging="284"/>
        <w:jc w:val="both"/>
        <w:rPr>
          <w:rFonts w:asciiTheme="majorHAnsi" w:hAnsiTheme="majorHAnsi"/>
          <w:sz w:val="24"/>
          <w:szCs w:val="24"/>
        </w:rPr>
      </w:pPr>
      <w:r w:rsidRPr="00536EE8">
        <w:rPr>
          <w:rFonts w:asciiTheme="majorHAnsi" w:hAnsiTheme="majorHAnsi"/>
          <w:sz w:val="24"/>
          <w:szCs w:val="24"/>
        </w:rPr>
        <w:t>FAQs</w:t>
      </w:r>
    </w:p>
    <w:p w:rsidR="00172D09" w:rsidRPr="00536EE8" w:rsidRDefault="00172D09" w:rsidP="000B24D8">
      <w:pPr>
        <w:pStyle w:val="NoSpacing"/>
        <w:numPr>
          <w:ilvl w:val="0"/>
          <w:numId w:val="3"/>
        </w:numPr>
        <w:ind w:left="1310" w:right="-22" w:hanging="284"/>
        <w:jc w:val="both"/>
        <w:rPr>
          <w:rFonts w:asciiTheme="majorHAnsi" w:hAnsiTheme="majorHAnsi"/>
          <w:sz w:val="24"/>
          <w:szCs w:val="24"/>
        </w:rPr>
      </w:pPr>
      <w:r w:rsidRPr="00536EE8">
        <w:rPr>
          <w:rFonts w:asciiTheme="majorHAnsi" w:hAnsiTheme="majorHAnsi"/>
          <w:sz w:val="24"/>
          <w:szCs w:val="24"/>
        </w:rPr>
        <w:t>information sheets on topical issues</w:t>
      </w:r>
    </w:p>
    <w:p w:rsidR="00172D09" w:rsidRPr="00536EE8" w:rsidRDefault="00172D09" w:rsidP="000B24D8">
      <w:pPr>
        <w:pStyle w:val="NoSpacing"/>
        <w:numPr>
          <w:ilvl w:val="0"/>
          <w:numId w:val="3"/>
        </w:numPr>
        <w:ind w:left="1310" w:right="-22" w:hanging="284"/>
        <w:jc w:val="both"/>
        <w:rPr>
          <w:rFonts w:asciiTheme="majorHAnsi" w:hAnsiTheme="majorHAnsi"/>
          <w:sz w:val="24"/>
          <w:szCs w:val="24"/>
        </w:rPr>
      </w:pPr>
      <w:r w:rsidRPr="00536EE8">
        <w:rPr>
          <w:rFonts w:asciiTheme="majorHAnsi" w:hAnsiTheme="majorHAnsi"/>
          <w:sz w:val="24"/>
          <w:szCs w:val="24"/>
        </w:rPr>
        <w:t>resources including Creative Commons and Open Education.</w:t>
      </w:r>
    </w:p>
    <w:p w:rsidR="00172D09" w:rsidRPr="00536EE8" w:rsidRDefault="00172D09" w:rsidP="000B24D8">
      <w:pPr>
        <w:pStyle w:val="NoSpacing"/>
        <w:numPr>
          <w:ilvl w:val="0"/>
          <w:numId w:val="4"/>
        </w:numPr>
        <w:ind w:right="-22"/>
        <w:jc w:val="both"/>
        <w:rPr>
          <w:rFonts w:asciiTheme="majorHAnsi" w:hAnsiTheme="majorHAnsi"/>
          <w:sz w:val="24"/>
          <w:szCs w:val="24"/>
        </w:rPr>
      </w:pPr>
      <w:r w:rsidRPr="00536EE8">
        <w:rPr>
          <w:rFonts w:asciiTheme="majorHAnsi" w:hAnsiTheme="majorHAnsi"/>
          <w:sz w:val="24"/>
          <w:szCs w:val="24"/>
        </w:rPr>
        <w:t xml:space="preserve">For further information or </w:t>
      </w:r>
      <w:proofErr w:type="gramStart"/>
      <w:r w:rsidRPr="00536EE8">
        <w:rPr>
          <w:rFonts w:asciiTheme="majorHAnsi" w:hAnsiTheme="majorHAnsi"/>
          <w:sz w:val="24"/>
          <w:szCs w:val="24"/>
        </w:rPr>
        <w:t>advice</w:t>
      </w:r>
      <w:proofErr w:type="gramEnd"/>
      <w:r w:rsidRPr="00536EE8">
        <w:rPr>
          <w:rFonts w:asciiTheme="majorHAnsi" w:hAnsiTheme="majorHAnsi"/>
          <w:sz w:val="24"/>
          <w:szCs w:val="24"/>
        </w:rPr>
        <w:t xml:space="preserve"> the school may also contact the Legal Services Unit on   </w:t>
      </w:r>
    </w:p>
    <w:p w:rsidR="00172D09" w:rsidRPr="00536EE8" w:rsidRDefault="00172D09" w:rsidP="000B24D8">
      <w:pPr>
        <w:pStyle w:val="NoSpacing"/>
        <w:ind w:left="720" w:right="-22"/>
        <w:jc w:val="both"/>
        <w:rPr>
          <w:rFonts w:asciiTheme="majorHAnsi" w:hAnsiTheme="majorHAnsi"/>
          <w:sz w:val="24"/>
          <w:szCs w:val="24"/>
        </w:rPr>
      </w:pPr>
      <w:r w:rsidRPr="00536EE8">
        <w:rPr>
          <w:rFonts w:asciiTheme="majorHAnsi" w:hAnsiTheme="majorHAnsi"/>
          <w:sz w:val="24"/>
          <w:szCs w:val="24"/>
        </w:rPr>
        <w:t xml:space="preserve"> (03) 9637-3146.</w:t>
      </w:r>
    </w:p>
    <w:p w:rsidR="00172D09" w:rsidRPr="00536EE8" w:rsidRDefault="00172D09" w:rsidP="000B24D8">
      <w:pPr>
        <w:pStyle w:val="NoSpacing"/>
        <w:numPr>
          <w:ilvl w:val="0"/>
          <w:numId w:val="6"/>
        </w:numPr>
        <w:ind w:left="743" w:right="-22" w:hanging="425"/>
        <w:jc w:val="both"/>
        <w:rPr>
          <w:rFonts w:asciiTheme="majorHAnsi" w:hAnsiTheme="majorHAnsi"/>
          <w:i/>
          <w:sz w:val="24"/>
          <w:szCs w:val="24"/>
        </w:rPr>
      </w:pPr>
      <w:r w:rsidRPr="00536EE8">
        <w:rPr>
          <w:rFonts w:asciiTheme="majorHAnsi" w:hAnsiTheme="majorHAnsi"/>
          <w:sz w:val="24"/>
          <w:szCs w:val="24"/>
        </w:rPr>
        <w:t xml:space="preserve">Please refer also to the school’s </w:t>
      </w:r>
      <w:r w:rsidRPr="00536EE8">
        <w:rPr>
          <w:rFonts w:asciiTheme="majorHAnsi" w:hAnsiTheme="majorHAnsi"/>
          <w:i/>
          <w:sz w:val="24"/>
          <w:szCs w:val="24"/>
        </w:rPr>
        <w:t xml:space="preserve">Archives and Records Management Policy </w:t>
      </w:r>
      <w:r w:rsidRPr="00536EE8">
        <w:rPr>
          <w:rFonts w:asciiTheme="majorHAnsi" w:hAnsiTheme="majorHAnsi"/>
          <w:sz w:val="24"/>
          <w:szCs w:val="24"/>
        </w:rPr>
        <w:t xml:space="preserve">and the </w:t>
      </w:r>
      <w:r w:rsidRPr="00536EE8">
        <w:rPr>
          <w:rFonts w:asciiTheme="majorHAnsi" w:hAnsiTheme="majorHAnsi"/>
          <w:i/>
          <w:sz w:val="24"/>
          <w:szCs w:val="24"/>
        </w:rPr>
        <w:t>Governance &amp; Management Policy.</w:t>
      </w:r>
    </w:p>
    <w:p w:rsidR="00172D09" w:rsidRPr="00536EE8" w:rsidRDefault="00172D09" w:rsidP="000B24D8">
      <w:pPr>
        <w:pStyle w:val="ListParagraph"/>
        <w:ind w:left="1452" w:right="-22" w:hanging="426"/>
        <w:jc w:val="both"/>
        <w:rPr>
          <w:rFonts w:asciiTheme="majorHAnsi" w:hAnsiTheme="majorHAnsi"/>
          <w:i/>
          <w:u w:val="single"/>
        </w:rPr>
      </w:pPr>
    </w:p>
    <w:p w:rsidR="00172D09" w:rsidRPr="00536EE8" w:rsidRDefault="00172D09" w:rsidP="000B24D8">
      <w:pPr>
        <w:pStyle w:val="ListParagraph"/>
        <w:tabs>
          <w:tab w:val="left" w:pos="1134"/>
        </w:tabs>
        <w:ind w:left="786" w:right="-22" w:hanging="786"/>
        <w:jc w:val="both"/>
        <w:rPr>
          <w:rFonts w:asciiTheme="majorHAnsi" w:hAnsiTheme="majorHAnsi"/>
        </w:rPr>
      </w:pPr>
      <w:r w:rsidRPr="00536EE8">
        <w:rPr>
          <w:rFonts w:asciiTheme="majorHAnsi" w:hAnsiTheme="majorHAnsi"/>
          <w:u w:val="single"/>
        </w:rPr>
        <w:t>Evaluation</w:t>
      </w:r>
    </w:p>
    <w:p w:rsidR="00172D09" w:rsidRPr="00536EE8" w:rsidRDefault="00172D09" w:rsidP="000B24D8">
      <w:pPr>
        <w:tabs>
          <w:tab w:val="left" w:pos="709"/>
        </w:tabs>
        <w:ind w:right="-22"/>
        <w:rPr>
          <w:rFonts w:asciiTheme="majorHAnsi" w:hAnsiTheme="majorHAnsi"/>
          <w:sz w:val="24"/>
          <w:szCs w:val="24"/>
        </w:rPr>
      </w:pPr>
      <w:r w:rsidRPr="00536EE8">
        <w:rPr>
          <w:rFonts w:asciiTheme="majorHAnsi" w:hAnsiTheme="majorHAnsi"/>
          <w:sz w:val="24"/>
          <w:szCs w:val="24"/>
        </w:rPr>
        <w:t>This policy will be reviewed as part of the school’s three-year review cycle or if guidelines change</w:t>
      </w:r>
      <w:r w:rsidR="000B24D8" w:rsidRPr="00536EE8">
        <w:rPr>
          <w:rFonts w:asciiTheme="majorHAnsi" w:hAnsiTheme="majorHAnsi"/>
          <w:sz w:val="24"/>
          <w:szCs w:val="24"/>
        </w:rPr>
        <w:t xml:space="preserve"> </w:t>
      </w:r>
      <w:r w:rsidRPr="00536EE8">
        <w:rPr>
          <w:rFonts w:asciiTheme="majorHAnsi" w:hAnsiTheme="majorHAnsi"/>
          <w:sz w:val="24"/>
          <w:szCs w:val="24"/>
        </w:rPr>
        <w:t>(latest update early September 2014).</w:t>
      </w:r>
    </w:p>
    <w:p w:rsidR="00172D09" w:rsidRPr="00536EE8" w:rsidRDefault="000B24D8" w:rsidP="000B24D8">
      <w:pPr>
        <w:pStyle w:val="ListParagraph"/>
        <w:tabs>
          <w:tab w:val="left" w:pos="1134"/>
        </w:tabs>
        <w:ind w:left="786" w:right="-22" w:hanging="786"/>
        <w:jc w:val="both"/>
        <w:rPr>
          <w:rFonts w:asciiTheme="majorHAnsi" w:hAnsiTheme="majorHAnsi"/>
          <w:u w:val="single"/>
        </w:rPr>
      </w:pPr>
      <w:r w:rsidRPr="00536EE8">
        <w:rPr>
          <w:rFonts w:asciiTheme="majorHAnsi" w:hAnsiTheme="majorHAnsi"/>
          <w:u w:val="single"/>
        </w:rPr>
        <w:t>Ratification</w:t>
      </w:r>
    </w:p>
    <w:p w:rsidR="00172D09" w:rsidRPr="00536EE8" w:rsidRDefault="00860533" w:rsidP="000B24D8">
      <w:pPr>
        <w:tabs>
          <w:tab w:val="left" w:pos="709"/>
        </w:tabs>
        <w:ind w:right="-22"/>
        <w:rPr>
          <w:rFonts w:asciiTheme="majorHAnsi" w:hAnsiTheme="majorHAnsi"/>
          <w:sz w:val="24"/>
          <w:szCs w:val="24"/>
        </w:rPr>
      </w:pPr>
      <w:r w:rsidRPr="00536EE8">
        <w:rPr>
          <w:rFonts w:asciiTheme="majorHAnsi" w:hAnsiTheme="majorHAnsi"/>
          <w:sz w:val="24"/>
          <w:szCs w:val="24"/>
        </w:rPr>
        <w:t>This policy was ratified by</w:t>
      </w:r>
      <w:r w:rsidR="00DD287E" w:rsidRPr="00536EE8">
        <w:rPr>
          <w:rFonts w:asciiTheme="majorHAnsi" w:hAnsiTheme="majorHAnsi"/>
          <w:sz w:val="24"/>
          <w:szCs w:val="24"/>
        </w:rPr>
        <w:t xml:space="preserve"> the</w:t>
      </w:r>
      <w:r w:rsidRPr="00536EE8">
        <w:rPr>
          <w:rFonts w:asciiTheme="majorHAnsi" w:hAnsiTheme="majorHAnsi"/>
          <w:sz w:val="24"/>
          <w:szCs w:val="24"/>
        </w:rPr>
        <w:t xml:space="preserve"> College</w:t>
      </w:r>
      <w:r w:rsidR="00172D09" w:rsidRPr="00536EE8">
        <w:rPr>
          <w:rFonts w:asciiTheme="majorHAnsi" w:hAnsiTheme="majorHAnsi"/>
          <w:sz w:val="24"/>
          <w:szCs w:val="24"/>
        </w:rPr>
        <w:t xml:space="preserve"> Council </w:t>
      </w:r>
      <w:r w:rsidR="00DD287E" w:rsidRPr="00536EE8">
        <w:rPr>
          <w:rFonts w:asciiTheme="majorHAnsi" w:hAnsiTheme="majorHAnsi"/>
          <w:sz w:val="24"/>
          <w:szCs w:val="24"/>
        </w:rPr>
        <w:t>o</w:t>
      </w:r>
      <w:r w:rsidR="00172D09" w:rsidRPr="00536EE8">
        <w:rPr>
          <w:rFonts w:asciiTheme="majorHAnsi" w:hAnsiTheme="majorHAnsi"/>
          <w:sz w:val="24"/>
          <w:szCs w:val="24"/>
        </w:rPr>
        <w:t xml:space="preserve">n </w:t>
      </w:r>
      <w:r w:rsidR="000B24D8" w:rsidRPr="00536EE8">
        <w:rPr>
          <w:rFonts w:asciiTheme="majorHAnsi" w:hAnsiTheme="majorHAnsi"/>
          <w:sz w:val="24"/>
          <w:szCs w:val="24"/>
        </w:rPr>
        <w:t>15</w:t>
      </w:r>
      <w:r w:rsidR="000B24D8" w:rsidRPr="00536EE8">
        <w:rPr>
          <w:rFonts w:asciiTheme="majorHAnsi" w:hAnsiTheme="majorHAnsi"/>
          <w:sz w:val="24"/>
          <w:szCs w:val="24"/>
          <w:vertAlign w:val="superscript"/>
        </w:rPr>
        <w:t>th</w:t>
      </w:r>
      <w:r w:rsidR="000B24D8" w:rsidRPr="00536EE8">
        <w:rPr>
          <w:rFonts w:asciiTheme="majorHAnsi" w:hAnsiTheme="majorHAnsi"/>
          <w:sz w:val="24"/>
          <w:szCs w:val="24"/>
        </w:rPr>
        <w:t xml:space="preserve"> </w:t>
      </w:r>
      <w:r w:rsidR="00536EE8">
        <w:rPr>
          <w:rFonts w:asciiTheme="majorHAnsi" w:hAnsiTheme="majorHAnsi"/>
          <w:sz w:val="24"/>
          <w:szCs w:val="24"/>
        </w:rPr>
        <w:t>February</w:t>
      </w:r>
      <w:bookmarkStart w:id="0" w:name="_GoBack"/>
      <w:bookmarkEnd w:id="0"/>
      <w:r w:rsidR="000B24D8" w:rsidRPr="00536EE8">
        <w:rPr>
          <w:rFonts w:asciiTheme="majorHAnsi" w:hAnsiTheme="majorHAnsi"/>
          <w:sz w:val="24"/>
          <w:szCs w:val="24"/>
        </w:rPr>
        <w:t>, 2018.</w:t>
      </w:r>
    </w:p>
    <w:p w:rsidR="00172D09" w:rsidRPr="00536EE8" w:rsidRDefault="00172D09" w:rsidP="000B24D8">
      <w:pPr>
        <w:pStyle w:val="ListParagraph"/>
        <w:tabs>
          <w:tab w:val="left" w:pos="1134"/>
        </w:tabs>
        <w:ind w:left="786" w:right="-22" w:hanging="786"/>
        <w:jc w:val="both"/>
        <w:rPr>
          <w:rFonts w:asciiTheme="majorHAnsi" w:hAnsiTheme="majorHAnsi"/>
          <w:u w:val="single"/>
        </w:rPr>
      </w:pPr>
      <w:r w:rsidRPr="00536EE8">
        <w:rPr>
          <w:rFonts w:asciiTheme="majorHAnsi" w:hAnsiTheme="majorHAnsi"/>
          <w:u w:val="single"/>
        </w:rPr>
        <w:t>Reference</w:t>
      </w:r>
    </w:p>
    <w:p w:rsidR="00172D09" w:rsidRPr="00536EE8" w:rsidRDefault="00250150" w:rsidP="000B24D8">
      <w:pPr>
        <w:tabs>
          <w:tab w:val="left" w:pos="709"/>
        </w:tabs>
        <w:ind w:right="-22"/>
        <w:rPr>
          <w:rFonts w:asciiTheme="majorHAnsi" w:hAnsiTheme="majorHAnsi"/>
          <w:sz w:val="24"/>
          <w:szCs w:val="24"/>
        </w:rPr>
      </w:pPr>
      <w:hyperlink r:id="rId11" w:history="1">
        <w:r w:rsidR="00172D09" w:rsidRPr="00536EE8">
          <w:rPr>
            <w:rFonts w:asciiTheme="majorHAnsi" w:hAnsiTheme="majorHAnsi"/>
            <w:sz w:val="24"/>
            <w:szCs w:val="24"/>
          </w:rPr>
          <w:t>www.education.vic.gov.au/education/principals/spag/management/Pages/copyright.aspx</w:t>
        </w:r>
      </w:hyperlink>
    </w:p>
    <w:sectPr w:rsidR="00172D09" w:rsidRPr="00536EE8" w:rsidSect="000B24D8">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150" w:rsidRDefault="00250150" w:rsidP="00177ADB">
      <w:pPr>
        <w:spacing w:after="0" w:line="240" w:lineRule="auto"/>
      </w:pPr>
      <w:r>
        <w:separator/>
      </w:r>
    </w:p>
  </w:endnote>
  <w:endnote w:type="continuationSeparator" w:id="0">
    <w:p w:rsidR="00250150" w:rsidRDefault="00250150" w:rsidP="0017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108" w:rsidRDefault="00D64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413739"/>
      <w:docPartObj>
        <w:docPartGallery w:val="Page Numbers (Bottom of Page)"/>
        <w:docPartUnique/>
      </w:docPartObj>
    </w:sdtPr>
    <w:sdtEndPr>
      <w:rPr>
        <w:noProof/>
      </w:rPr>
    </w:sdtEndPr>
    <w:sdtContent>
      <w:p w:rsidR="00177ADB" w:rsidRPr="000B24D8" w:rsidRDefault="00177ADB" w:rsidP="000B24D8">
        <w:pPr>
          <w:pStyle w:val="Footer"/>
          <w:jc w:val="center"/>
        </w:pPr>
        <w:r w:rsidRPr="000B24D8">
          <w:fldChar w:fldCharType="begin"/>
        </w:r>
        <w:r w:rsidRPr="000B24D8">
          <w:instrText xml:space="preserve"> PAGE   \* MERGEFORMAT </w:instrText>
        </w:r>
        <w:r w:rsidRPr="000B24D8">
          <w:fldChar w:fldCharType="separate"/>
        </w:r>
        <w:r w:rsidR="00536EE8">
          <w:rPr>
            <w:noProof/>
          </w:rPr>
          <w:t>2</w:t>
        </w:r>
        <w:r w:rsidRPr="000B24D8">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108" w:rsidRDefault="00D64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150" w:rsidRDefault="00250150" w:rsidP="00177ADB">
      <w:pPr>
        <w:spacing w:after="0" w:line="240" w:lineRule="auto"/>
      </w:pPr>
      <w:r>
        <w:separator/>
      </w:r>
    </w:p>
  </w:footnote>
  <w:footnote w:type="continuationSeparator" w:id="0">
    <w:p w:rsidR="00250150" w:rsidRDefault="00250150" w:rsidP="00177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108" w:rsidRDefault="00D64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56" w:type="dxa"/>
      <w:tblInd w:w="-5" w:type="dxa"/>
      <w:tblLook w:val="04A0" w:firstRow="1" w:lastRow="0" w:firstColumn="1" w:lastColumn="0" w:noHBand="0" w:noVBand="1"/>
    </w:tblPr>
    <w:tblGrid>
      <w:gridCol w:w="6804"/>
      <w:gridCol w:w="2552"/>
    </w:tblGrid>
    <w:tr w:rsidR="00C62EAB" w:rsidTr="00D64108">
      <w:trPr>
        <w:trHeight w:val="1691"/>
      </w:trPr>
      <w:tc>
        <w:tcPr>
          <w:tcW w:w="6804" w:type="dxa"/>
          <w:tcBorders>
            <w:top w:val="single" w:sz="4" w:space="0" w:color="auto"/>
            <w:left w:val="single" w:sz="4" w:space="0" w:color="auto"/>
            <w:bottom w:val="single" w:sz="4" w:space="0" w:color="auto"/>
            <w:right w:val="single" w:sz="4" w:space="0" w:color="auto"/>
          </w:tcBorders>
          <w:vAlign w:val="center"/>
        </w:tcPr>
        <w:p w:rsidR="00C62EAB" w:rsidRPr="00C62EAB" w:rsidRDefault="00C62EAB" w:rsidP="00762AAE">
          <w:pPr>
            <w:jc w:val="center"/>
            <w:rPr>
              <w:lang w:eastAsia="en-AU"/>
            </w:rPr>
          </w:pPr>
          <w:r w:rsidRPr="00C62EAB">
            <w:rPr>
              <w:rFonts w:asciiTheme="majorHAnsi" w:hAnsiTheme="majorHAnsi"/>
              <w:sz w:val="36"/>
              <w:lang w:eastAsia="en-AU"/>
            </w:rPr>
            <w:t>COPYRIGHT POLICY</w:t>
          </w:r>
        </w:p>
      </w:tc>
      <w:tc>
        <w:tcPr>
          <w:tcW w:w="2552" w:type="dxa"/>
          <w:tcBorders>
            <w:top w:val="single" w:sz="4" w:space="0" w:color="auto"/>
            <w:left w:val="single" w:sz="4" w:space="0" w:color="auto"/>
            <w:bottom w:val="single" w:sz="4" w:space="0" w:color="auto"/>
            <w:right w:val="single" w:sz="4" w:space="0" w:color="auto"/>
          </w:tcBorders>
          <w:hideMark/>
        </w:tcPr>
        <w:p w:rsidR="00C62EAB" w:rsidRDefault="00C62EAB" w:rsidP="00C62EAB">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177ADB" w:rsidRPr="00C62EAB" w:rsidRDefault="00177ADB" w:rsidP="00C62EAB">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108" w:rsidRDefault="00D6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37C"/>
    <w:multiLevelType w:val="hybridMultilevel"/>
    <w:tmpl w:val="87680174"/>
    <w:lvl w:ilvl="0" w:tplc="E9A63CAE">
      <w:numFmt w:val="bullet"/>
      <w:lvlText w:val="─"/>
      <w:lvlJc w:val="left"/>
      <w:pPr>
        <w:ind w:left="1440" w:hanging="360"/>
      </w:pPr>
      <w:rPr>
        <w:rFonts w:ascii="Calibri Light" w:eastAsiaTheme="minorHAnsi" w:hAnsi="Calibri Light" w:cstheme="minorBidi"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1077D91"/>
    <w:multiLevelType w:val="hybridMultilevel"/>
    <w:tmpl w:val="1B5AA5EC"/>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17986A42"/>
    <w:multiLevelType w:val="hybridMultilevel"/>
    <w:tmpl w:val="217AC23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282723"/>
    <w:multiLevelType w:val="hybridMultilevel"/>
    <w:tmpl w:val="907C5BE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732D7F"/>
    <w:multiLevelType w:val="hybridMultilevel"/>
    <w:tmpl w:val="A7C48A1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54E72"/>
    <w:multiLevelType w:val="hybridMultilevel"/>
    <w:tmpl w:val="6E98530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C53F70"/>
    <w:multiLevelType w:val="hybridMultilevel"/>
    <w:tmpl w:val="A68E307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0E36D6"/>
    <w:multiLevelType w:val="hybridMultilevel"/>
    <w:tmpl w:val="F6F6DDB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6D4B10"/>
    <w:multiLevelType w:val="hybridMultilevel"/>
    <w:tmpl w:val="DDDCDB6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6"/>
  </w:num>
  <w:num w:numId="6">
    <w:abstractNumId w:val="0"/>
  </w:num>
  <w:num w:numId="7">
    <w:abstractNumId w:val="8"/>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91DD9"/>
    <w:rsid w:val="000B24D8"/>
    <w:rsid w:val="00135515"/>
    <w:rsid w:val="00172D09"/>
    <w:rsid w:val="00177ADB"/>
    <w:rsid w:val="00226EE6"/>
    <w:rsid w:val="00250150"/>
    <w:rsid w:val="002C7F9C"/>
    <w:rsid w:val="00317736"/>
    <w:rsid w:val="00365E49"/>
    <w:rsid w:val="003C0605"/>
    <w:rsid w:val="004C31B7"/>
    <w:rsid w:val="004E10FA"/>
    <w:rsid w:val="00536EE8"/>
    <w:rsid w:val="005E3B6A"/>
    <w:rsid w:val="006342C1"/>
    <w:rsid w:val="0064632B"/>
    <w:rsid w:val="00665B9B"/>
    <w:rsid w:val="00762AAE"/>
    <w:rsid w:val="007A3168"/>
    <w:rsid w:val="007C35C5"/>
    <w:rsid w:val="00842F3D"/>
    <w:rsid w:val="00860533"/>
    <w:rsid w:val="00912DA4"/>
    <w:rsid w:val="00992440"/>
    <w:rsid w:val="009D52A2"/>
    <w:rsid w:val="00A033A9"/>
    <w:rsid w:val="00A3329D"/>
    <w:rsid w:val="00A97010"/>
    <w:rsid w:val="00B11F9C"/>
    <w:rsid w:val="00BC386D"/>
    <w:rsid w:val="00BE2EA6"/>
    <w:rsid w:val="00C62EAB"/>
    <w:rsid w:val="00D64108"/>
    <w:rsid w:val="00DC79AA"/>
    <w:rsid w:val="00DD0BCB"/>
    <w:rsid w:val="00DD287E"/>
    <w:rsid w:val="00E53F0A"/>
    <w:rsid w:val="00FC63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4E081"/>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paragraph" w:styleId="Footer">
    <w:name w:val="footer"/>
    <w:basedOn w:val="Normal"/>
    <w:link w:val="FooterChar"/>
    <w:uiPriority w:val="99"/>
    <w:unhideWhenUsed/>
    <w:rsid w:val="00177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ADB"/>
  </w:style>
  <w:style w:type="paragraph" w:styleId="Title">
    <w:name w:val="Title"/>
    <w:basedOn w:val="Normal"/>
    <w:link w:val="TitleChar"/>
    <w:qFormat/>
    <w:rsid w:val="00C62EAB"/>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C62EAB"/>
    <w:rPr>
      <w:rFonts w:asciiTheme="majorHAnsi" w:eastAsia="Times New Roman" w:hAnsiTheme="majorHAnsi" w:cs="Times New Roman"/>
      <w:b/>
      <w:caps/>
      <w:sz w:val="28"/>
      <w:szCs w:val="24"/>
    </w:rPr>
  </w:style>
  <w:style w:type="table" w:styleId="TableGrid">
    <w:name w:val="Table Grid"/>
    <w:basedOn w:val="TableNormal"/>
    <w:rsid w:val="00C62EAB"/>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8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education/principals/spag/management/Pages/copyright.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ducation.vic.gov.au/school/principals/management/Pages/copyright.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1F116-AC78-441F-AC67-7C2EC8162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7B7A27-5FA5-46F5-B7D9-539B62B5D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24C54-D945-4910-85E5-ED8862ED9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10</cp:revision>
  <dcterms:created xsi:type="dcterms:W3CDTF">2017-02-14T05:47:00Z</dcterms:created>
  <dcterms:modified xsi:type="dcterms:W3CDTF">2017-12-31T05:22:00Z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