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5C" w:rsidRPr="00241CDD" w:rsidRDefault="00207D5C" w:rsidP="00207D5C">
      <w:pPr>
        <w:rPr>
          <w:rFonts w:asciiTheme="majorHAnsi" w:hAnsiTheme="majorHAnsi" w:cstheme="majorHAnsi"/>
          <w:i/>
          <w:sz w:val="24"/>
        </w:rPr>
      </w:pPr>
      <w:r w:rsidRPr="00241CDD">
        <w:rPr>
          <w:rFonts w:asciiTheme="majorHAnsi" w:hAnsiTheme="majorHAnsi" w:cstheme="majorHAnsi"/>
          <w:i/>
          <w:sz w:val="24"/>
        </w:rPr>
        <w:t xml:space="preserve">Charles La Trobe P-12 College takes a zero-tolerance approach to child abuse and is fully committed to ensuring that its strategies, policies, procedures and practices meet all </w:t>
      </w:r>
      <w:r w:rsidRPr="00241CDD">
        <w:rPr>
          <w:rFonts w:asciiTheme="majorHAnsi" w:hAnsiTheme="majorHAnsi" w:cstheme="majorHAnsi"/>
          <w:b/>
          <w:i/>
          <w:sz w:val="24"/>
        </w:rPr>
        <w:t xml:space="preserve">Child Safety Standards as specified in Ministerial Order No. 870 (2015) </w:t>
      </w:r>
      <w:r w:rsidRPr="00241CDD">
        <w:rPr>
          <w:rFonts w:asciiTheme="majorHAnsi" w:hAnsiTheme="majorHAnsi" w:cstheme="majorHAnsi"/>
          <w:i/>
          <w:sz w:val="24"/>
        </w:rPr>
        <w:t xml:space="preserve"> 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Overview: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It is important for schools to have strong human resources practices to help protect children from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abuse. At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, we foster a culture of openness and inclusiveness, as well as being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aware that people who may wish to harm children could target schools. We believe that robust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human resources practices are </w:t>
      </w:r>
      <w:proofErr w:type="gramStart"/>
      <w:r w:rsidRPr="00241CDD">
        <w:rPr>
          <w:rFonts w:asciiTheme="majorHAnsi" w:hAnsiTheme="majorHAnsi" w:cstheme="majorHAnsi"/>
        </w:rPr>
        <w:t>a good way</w:t>
      </w:r>
      <w:proofErr w:type="gramEnd"/>
      <w:r w:rsidRPr="00241CDD">
        <w:rPr>
          <w:rFonts w:asciiTheme="majorHAnsi" w:hAnsiTheme="majorHAnsi" w:cstheme="majorHAnsi"/>
        </w:rPr>
        <w:t xml:space="preserve"> of reducing these risks. Human resources practices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include the recruitment, training and supervision of all personnel.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To achieve this, we provide opportunities for employees and volunteers to develop and maintain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skills to ensure child safety. This will support staff and volunteers to understand the importance of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child safety and wellbeing, and enable them to consistently follow child safety policies and</w:t>
      </w:r>
      <w:r w:rsidR="0041411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procedures.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241CDD" w:rsidP="009E0258">
      <w:pPr>
        <w:spacing w:after="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Charles La Trobe College</w:t>
      </w:r>
      <w:r w:rsidR="009E0258" w:rsidRPr="00241CDD">
        <w:rPr>
          <w:rFonts w:asciiTheme="majorHAnsi" w:hAnsiTheme="majorHAnsi" w:cstheme="majorHAnsi"/>
        </w:rPr>
        <w:t xml:space="preserve"> reinforces our commitment to child safety by recognising the good work and</w:t>
      </w:r>
      <w:r w:rsidR="0041411D">
        <w:rPr>
          <w:rFonts w:asciiTheme="majorHAnsi" w:hAnsiTheme="majorHAnsi" w:cstheme="majorHAnsi"/>
        </w:rPr>
        <w:t xml:space="preserve"> </w:t>
      </w:r>
      <w:r w:rsidR="009E0258" w:rsidRPr="00241CDD">
        <w:rPr>
          <w:rFonts w:asciiTheme="majorHAnsi" w:hAnsiTheme="majorHAnsi" w:cstheme="majorHAnsi"/>
        </w:rPr>
        <w:t>practices of employees and volunteers in keeping children safe and protected.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  <w:b/>
        </w:rPr>
        <w:t>Child Safety</w:t>
      </w:r>
      <w:r w:rsidR="00241CDD">
        <w:rPr>
          <w:rFonts w:asciiTheme="majorHAnsi" w:hAnsiTheme="majorHAnsi" w:cstheme="majorHAnsi"/>
          <w:b/>
        </w:rPr>
        <w:t xml:space="preserve"> Officer Team</w:t>
      </w:r>
      <w:r w:rsidRPr="00241CDD">
        <w:rPr>
          <w:rFonts w:asciiTheme="majorHAnsi" w:hAnsiTheme="majorHAnsi" w:cstheme="majorHAnsi"/>
        </w:rPr>
        <w:t>: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 xml:space="preserve">Employees and volunteers are supported through the Child Safety </w:t>
      </w:r>
      <w:r w:rsidR="00241CDD">
        <w:rPr>
          <w:rFonts w:asciiTheme="majorHAnsi" w:hAnsiTheme="majorHAnsi" w:cstheme="majorHAnsi"/>
        </w:rPr>
        <w:t xml:space="preserve">Officer Team (team of principals).  The Child Safety Officers have </w:t>
      </w:r>
      <w:r w:rsidRPr="00241CDD">
        <w:rPr>
          <w:rFonts w:asciiTheme="majorHAnsi" w:hAnsiTheme="majorHAnsi" w:cstheme="majorHAnsi"/>
        </w:rPr>
        <w:t>specified ‘child-safe’ duties in their job description, including being the designated persons to hear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or be informed about all allegations or concerns, and providing support to other personnel. This will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assist us in ensuring that child safety is prioritised, and that any allegations of abuse or safety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concerns are recorded and responded to consistently and in line with (Department of Education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and Training) DET legal requirements and policies and procedures.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The designated Child Safety </w:t>
      </w:r>
      <w:r w:rsidR="00241CDD">
        <w:rPr>
          <w:rFonts w:asciiTheme="majorHAnsi" w:hAnsiTheme="majorHAnsi" w:cstheme="majorHAnsi"/>
        </w:rPr>
        <w:t>Officers</w:t>
      </w:r>
      <w:r w:rsidRPr="00241CDD">
        <w:rPr>
          <w:rFonts w:asciiTheme="majorHAnsi" w:hAnsiTheme="majorHAnsi" w:cstheme="majorHAnsi"/>
        </w:rPr>
        <w:t xml:space="preserve"> also provides points of contact for children, parents and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employees/volunteers to seek advice and support regarding the safety and wellbeing of children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associated with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Training and induction:</w:t>
      </w:r>
    </w:p>
    <w:p w:rsidR="009E0258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 xml:space="preserve">Training and education </w:t>
      </w:r>
      <w:r w:rsidR="00241CDD">
        <w:rPr>
          <w:rFonts w:asciiTheme="majorHAnsi" w:hAnsiTheme="majorHAnsi" w:cstheme="majorHAnsi"/>
        </w:rPr>
        <w:t>are</w:t>
      </w:r>
      <w:r w:rsidRPr="00241CDD">
        <w:rPr>
          <w:rFonts w:asciiTheme="majorHAnsi" w:hAnsiTheme="majorHAnsi" w:cstheme="majorHAnsi"/>
        </w:rPr>
        <w:t xml:space="preserve"> important </w:t>
      </w:r>
      <w:r w:rsidR="00241CDD">
        <w:rPr>
          <w:rFonts w:asciiTheme="majorHAnsi" w:hAnsiTheme="majorHAnsi" w:cstheme="majorHAnsi"/>
        </w:rPr>
        <w:t>in</w:t>
      </w:r>
      <w:r w:rsidRPr="00241CDD">
        <w:rPr>
          <w:rFonts w:asciiTheme="majorHAnsi" w:hAnsiTheme="majorHAnsi" w:cstheme="majorHAnsi"/>
        </w:rPr>
        <w:t xml:space="preserve"> help</w:t>
      </w:r>
      <w:r w:rsidR="00241CDD">
        <w:rPr>
          <w:rFonts w:asciiTheme="majorHAnsi" w:hAnsiTheme="majorHAnsi" w:cstheme="majorHAnsi"/>
        </w:rPr>
        <w:t>ing</w:t>
      </w:r>
      <w:r w:rsidRPr="00241CDD">
        <w:rPr>
          <w:rFonts w:asciiTheme="majorHAnsi" w:hAnsiTheme="majorHAnsi" w:cstheme="majorHAnsi"/>
        </w:rPr>
        <w:t xml:space="preserve"> people understand that child safety is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everyone’s responsibility.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’s employees and volunteers (in addition to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parents/guardians and children) are supported to discuss child protection issues and to detect signs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of potential child abuse.</w:t>
      </w:r>
    </w:p>
    <w:p w:rsidR="00C31770" w:rsidRPr="00241CDD" w:rsidRDefault="00C31770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 xml:space="preserve">Staff will receive induction and ongoing training. </w:t>
      </w:r>
      <w:proofErr w:type="gramStart"/>
      <w:r w:rsidRPr="00241CDD">
        <w:rPr>
          <w:rFonts w:asciiTheme="majorHAnsi" w:hAnsiTheme="majorHAnsi" w:cstheme="majorHAnsi"/>
        </w:rPr>
        <w:t>New staff</w:t>
      </w:r>
      <w:proofErr w:type="gramEnd"/>
      <w:r w:rsidRPr="00241CDD">
        <w:rPr>
          <w:rFonts w:asciiTheme="majorHAnsi" w:hAnsiTheme="majorHAnsi" w:cstheme="majorHAnsi"/>
        </w:rPr>
        <w:t xml:space="preserve"> will be provided support and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information when they begin their new role, and existing staff provided support to develop new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skills and </w:t>
      </w:r>
      <w:r w:rsidRPr="00241CDD">
        <w:rPr>
          <w:rFonts w:asciiTheme="majorHAnsi" w:hAnsiTheme="majorHAnsi" w:cstheme="majorHAnsi"/>
        </w:rPr>
        <w:lastRenderedPageBreak/>
        <w:t>knowledge to meet the requirements of their positions and expand their career options.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We believe that training and support promotes an awareness of the appropriate standards of care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required to be met by employees and volunteers to ensure that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 xml:space="preserve"> meets its duty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of care when providing services to children.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 xml:space="preserve">Our staff is committed to promoting the safety and wellbeing of children by signing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’s Code of Conduct. Training provided will enhance the skills and knowledge of our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employees and volunteers, and reduce exposure to risks.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Employees and volunteers working with children will receive training in the following areas: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identifying, assessing and reducing or removing child abuse risks</w:t>
      </w:r>
    </w:p>
    <w:p w:rsidR="009E0258" w:rsidRPr="00241CDD" w:rsidRDefault="00241CDD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Charles La Trobe College</w:t>
      </w:r>
      <w:r w:rsidR="009E0258" w:rsidRPr="00241CDD">
        <w:rPr>
          <w:rFonts w:asciiTheme="majorHAnsi" w:hAnsiTheme="majorHAnsi" w:cstheme="majorHAnsi"/>
        </w:rPr>
        <w:t>’s policies and procedures (including the Code of Conduct and Child Safe</w:t>
      </w:r>
      <w:r>
        <w:rPr>
          <w:rFonts w:asciiTheme="majorHAnsi" w:hAnsiTheme="majorHAnsi" w:cstheme="majorHAnsi"/>
        </w:rPr>
        <w:t xml:space="preserve"> </w:t>
      </w:r>
      <w:r w:rsidR="009E0258" w:rsidRPr="00241CDD">
        <w:rPr>
          <w:rFonts w:asciiTheme="majorHAnsi" w:hAnsiTheme="majorHAnsi" w:cstheme="majorHAnsi"/>
        </w:rPr>
        <w:t>Policy)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legislative requirements, such as obligations to report child abuse, reduce and remove known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risks of child abuse, and to hold Working with Children Checks and Police Checks where required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how to handle a disclosure or suspicion of abuse, including your organisation’s reporting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guidelines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cultural, disability and inclusiveness awareness training</w:t>
      </w:r>
      <w:r w:rsidR="00241CDD">
        <w:rPr>
          <w:rFonts w:asciiTheme="majorHAnsi" w:hAnsiTheme="majorHAnsi" w:cstheme="majorHAnsi"/>
        </w:rPr>
        <w:t>.</w:t>
      </w:r>
    </w:p>
    <w:p w:rsidR="00241CDD" w:rsidRDefault="00241CDD" w:rsidP="009E0258">
      <w:pPr>
        <w:spacing w:after="60"/>
        <w:rPr>
          <w:rFonts w:asciiTheme="majorHAnsi" w:hAnsiTheme="majorHAnsi" w:cstheme="majorHAnsi"/>
          <w:b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Training can be formal such as: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higher education training and accreditation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training offered by external organisations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training developed and delivered internally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on-the-job training meeting key objectives</w:t>
      </w:r>
      <w:r w:rsidR="00241CDD">
        <w:rPr>
          <w:rFonts w:asciiTheme="majorHAnsi" w:hAnsiTheme="majorHAnsi" w:cstheme="majorHAnsi"/>
        </w:rPr>
        <w:t>.</w:t>
      </w:r>
    </w:p>
    <w:p w:rsidR="00241CDD" w:rsidRDefault="00241CDD" w:rsidP="009E0258">
      <w:pPr>
        <w:spacing w:after="60"/>
        <w:rPr>
          <w:rFonts w:asciiTheme="majorHAnsi" w:hAnsiTheme="majorHAnsi" w:cstheme="majorHAnsi"/>
          <w:b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Training can also be informal such as: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inviting other professionals to speak at meetings or functions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inviting local Aboriginal Elders, Aboriginal community controlled organisations and community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members to speak at meetings and events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inviting local culturally and/or linguistically diverse community members and organisations to</w:t>
      </w:r>
    </w:p>
    <w:p w:rsidR="009E0258" w:rsidRPr="00241CDD" w:rsidRDefault="009E0258" w:rsidP="00241CDD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speak at meetings and events</w:t>
      </w:r>
    </w:p>
    <w:p w:rsidR="009E0258" w:rsidRPr="00241CDD" w:rsidRDefault="009E0258" w:rsidP="009E0258">
      <w:pPr>
        <w:numPr>
          <w:ilvl w:val="0"/>
          <w:numId w:val="13"/>
        </w:numPr>
        <w:spacing w:after="60" w:line="240" w:lineRule="auto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internal mentoring and coaching</w:t>
      </w:r>
    </w:p>
    <w:p w:rsidR="00C31770" w:rsidRDefault="00C3177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lastRenderedPageBreak/>
        <w:t>Supervision: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Supervision of employees and volunteers is managed in a way that protects children from abuse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and improves accountability and performance, without being onerous or heavy-handed. For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instance, where practical, two staff members are present during activities with children. </w:t>
      </w:r>
      <w:proofErr w:type="gramStart"/>
      <w:r w:rsidRPr="00241CDD">
        <w:rPr>
          <w:rFonts w:asciiTheme="majorHAnsi" w:hAnsiTheme="majorHAnsi" w:cstheme="majorHAnsi"/>
        </w:rPr>
        <w:t>In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particular, children</w:t>
      </w:r>
      <w:proofErr w:type="gramEnd"/>
      <w:r w:rsidRPr="00241CDD">
        <w:rPr>
          <w:rFonts w:asciiTheme="majorHAnsi" w:hAnsiTheme="majorHAnsi" w:cstheme="majorHAnsi"/>
        </w:rPr>
        <w:t xml:space="preserve"> with a disability may require additional supervision.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As a matter of good practice, new employees and volunteers are supervised regularly to ensure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they understand their role and learn skills, as well as to check that their behaviour towards children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is appropriate. Any warning signs should be reported through appropriate channels, includes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 xml:space="preserve"> internal reporting procedures (such as your child safety team and leadership), the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Department of Health and Human Services (Child Protection), or police if a child is believed to be at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imminent risk.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  <w:b/>
        </w:rPr>
      </w:pPr>
      <w:r w:rsidRPr="00241CDD">
        <w:rPr>
          <w:rFonts w:asciiTheme="majorHAnsi" w:hAnsiTheme="majorHAnsi" w:cstheme="majorHAnsi"/>
          <w:b/>
        </w:rPr>
        <w:t>Performance and development review: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 xml:space="preserve">A proactive performance development strategy is used to improve employees and </w:t>
      </w:r>
      <w:proofErr w:type="gramStart"/>
      <w:r w:rsidRPr="00241CDD">
        <w:rPr>
          <w:rFonts w:asciiTheme="majorHAnsi" w:hAnsiTheme="majorHAnsi" w:cstheme="majorHAnsi"/>
        </w:rPr>
        <w:t>volunteers</w:t>
      </w:r>
      <w:proofErr w:type="gramEnd"/>
      <w:r w:rsidRPr="00241CDD">
        <w:rPr>
          <w:rFonts w:asciiTheme="majorHAnsi" w:hAnsiTheme="majorHAnsi" w:cstheme="majorHAnsi"/>
        </w:rPr>
        <w:t xml:space="preserve"> skills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and knowledge on child safety. This is also an opportunity to improve knowledge and skills in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working with children, as well as recognising and responding to suspected abuse.</w:t>
      </w:r>
      <w:r w:rsidR="00241CDD">
        <w:rPr>
          <w:rFonts w:asciiTheme="majorHAnsi" w:hAnsiTheme="majorHAnsi" w:cstheme="majorHAnsi"/>
        </w:rPr>
        <w:t xml:space="preserve">  </w:t>
      </w:r>
      <w:r w:rsidRPr="00241CDD">
        <w:rPr>
          <w:rFonts w:asciiTheme="majorHAnsi" w:hAnsiTheme="majorHAnsi" w:cstheme="majorHAnsi"/>
        </w:rPr>
        <w:t xml:space="preserve">Performance is measured against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’s standards of conduct and care to ensure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that employees and volunteers meet expected outcomes. These standards align with those of the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Code of Conduct and Child Safe </w:t>
      </w:r>
      <w:proofErr w:type="gramStart"/>
      <w:r w:rsidRPr="00241CDD">
        <w:rPr>
          <w:rFonts w:asciiTheme="majorHAnsi" w:hAnsiTheme="majorHAnsi" w:cstheme="majorHAnsi"/>
        </w:rPr>
        <w:t>Policy</w:t>
      </w:r>
      <w:proofErr w:type="gramEnd"/>
      <w:r w:rsidRPr="00241CDD">
        <w:rPr>
          <w:rFonts w:asciiTheme="majorHAnsi" w:hAnsiTheme="majorHAnsi" w:cstheme="majorHAnsi"/>
        </w:rPr>
        <w:t xml:space="preserve"> so everyone can be aware of the expectations of our school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and appropriate behaviour.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  <w:b/>
        </w:rPr>
        <w:t>Code of conduct and disciplinary procedures</w:t>
      </w:r>
      <w:r w:rsidRPr="00241CDD">
        <w:rPr>
          <w:rFonts w:asciiTheme="majorHAnsi" w:hAnsiTheme="majorHAnsi" w:cstheme="majorHAnsi"/>
        </w:rPr>
        <w:t>: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Disciplinary procedures are accessible and transparent, and clearly demonstrate the consequences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of breaches of the code of conduct. These procedures will be used if an allegation of child abuse is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made, or a breach of the code of conduct is known or suspected.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Employees and volunteers will be made aware of reporting and disciplinary procedures and how to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 xml:space="preserve">communicate concerns regarding the improper behaviour of any person within </w:t>
      </w:r>
      <w:r w:rsidR="00241CDD">
        <w:rPr>
          <w:rFonts w:asciiTheme="majorHAnsi" w:hAnsiTheme="majorHAnsi" w:cstheme="majorHAnsi"/>
        </w:rPr>
        <w:t>Charles La Trobe College</w:t>
      </w:r>
      <w:r w:rsidRPr="00241CDD">
        <w:rPr>
          <w:rFonts w:asciiTheme="majorHAnsi" w:hAnsiTheme="majorHAnsi" w:cstheme="majorHAnsi"/>
        </w:rPr>
        <w:t>.</w:t>
      </w:r>
      <w:r w:rsidR="00241CDD">
        <w:rPr>
          <w:rFonts w:asciiTheme="majorHAnsi" w:hAnsiTheme="majorHAnsi" w:cstheme="majorHAnsi"/>
        </w:rPr>
        <w:t xml:space="preserve">  </w:t>
      </w:r>
      <w:r w:rsidRPr="00241CDD">
        <w:rPr>
          <w:rFonts w:asciiTheme="majorHAnsi" w:hAnsiTheme="majorHAnsi" w:cstheme="majorHAnsi"/>
        </w:rPr>
        <w:t>Members of our school will also be made aware of their duty to raise concerns about the behaviour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of any person who may present a risk of child abuse, without fear of repercussions.</w:t>
      </w: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</w:p>
    <w:p w:rsidR="009E0258" w:rsidRPr="00241CDD" w:rsidRDefault="009E0258" w:rsidP="009E0258">
      <w:pPr>
        <w:spacing w:after="60"/>
        <w:rPr>
          <w:rFonts w:asciiTheme="majorHAnsi" w:hAnsiTheme="majorHAnsi" w:cstheme="majorHAnsi"/>
        </w:rPr>
      </w:pPr>
      <w:r w:rsidRPr="00241CDD">
        <w:rPr>
          <w:rFonts w:asciiTheme="majorHAnsi" w:hAnsiTheme="majorHAnsi" w:cstheme="majorHAnsi"/>
        </w:rPr>
        <w:t>Our Code of Conduct is to be publicly available. Children and their families will be encouraged to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raise any concerns about the behaviour of any person, and can expect to be listened to and</w:t>
      </w:r>
      <w:r w:rsidR="00241CDD">
        <w:rPr>
          <w:rFonts w:asciiTheme="majorHAnsi" w:hAnsiTheme="majorHAnsi" w:cstheme="majorHAnsi"/>
        </w:rPr>
        <w:t xml:space="preserve"> </w:t>
      </w:r>
      <w:r w:rsidRPr="00241CDD">
        <w:rPr>
          <w:rFonts w:asciiTheme="majorHAnsi" w:hAnsiTheme="majorHAnsi" w:cstheme="majorHAnsi"/>
        </w:rPr>
        <w:t>supported.</w:t>
      </w:r>
    </w:p>
    <w:p w:rsidR="00C31770" w:rsidRDefault="00C317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286878" w:rsidRPr="00241CDD" w:rsidRDefault="00286878" w:rsidP="00CB624D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241CDD">
        <w:rPr>
          <w:rFonts w:asciiTheme="majorHAnsi" w:hAnsiTheme="majorHAnsi" w:cstheme="majorHAnsi"/>
          <w:sz w:val="24"/>
          <w:szCs w:val="24"/>
          <w:u w:val="single"/>
        </w:rPr>
        <w:lastRenderedPageBreak/>
        <w:t>Evaluation</w:t>
      </w:r>
    </w:p>
    <w:p w:rsidR="00286878" w:rsidRPr="00426C80" w:rsidRDefault="00286878" w:rsidP="00426C80">
      <w:pPr>
        <w:spacing w:after="60"/>
        <w:rPr>
          <w:rFonts w:asciiTheme="majorHAnsi" w:hAnsiTheme="majorHAnsi" w:cstheme="majorHAnsi"/>
        </w:rPr>
      </w:pPr>
      <w:r w:rsidRPr="00426C80">
        <w:rPr>
          <w:rFonts w:asciiTheme="majorHAnsi" w:hAnsiTheme="majorHAnsi" w:cstheme="majorHAnsi"/>
        </w:rPr>
        <w:t xml:space="preserve">This policy will be reviewed as part of the school’s three-year review cycle, following </w:t>
      </w:r>
      <w:r w:rsidR="002F4C8D" w:rsidRPr="00426C80">
        <w:rPr>
          <w:rFonts w:asciiTheme="majorHAnsi" w:hAnsiTheme="majorHAnsi" w:cstheme="majorHAnsi"/>
        </w:rPr>
        <w:t>an</w:t>
      </w:r>
      <w:r w:rsidRPr="00426C80">
        <w:rPr>
          <w:rFonts w:asciiTheme="majorHAnsi" w:hAnsiTheme="majorHAnsi" w:cstheme="majorHAnsi"/>
        </w:rPr>
        <w:t xml:space="preserve"> incident if it occurs or if guidelines change (latest information late </w:t>
      </w:r>
      <w:r w:rsidR="00B72C19" w:rsidRPr="00426C80">
        <w:rPr>
          <w:rFonts w:asciiTheme="majorHAnsi" w:hAnsiTheme="majorHAnsi" w:cstheme="majorHAnsi"/>
        </w:rPr>
        <w:t>July</w:t>
      </w:r>
      <w:r w:rsidRPr="00426C80">
        <w:rPr>
          <w:rFonts w:asciiTheme="majorHAnsi" w:hAnsiTheme="majorHAnsi" w:cstheme="majorHAnsi"/>
        </w:rPr>
        <w:t xml:space="preserve"> 2016).</w:t>
      </w:r>
    </w:p>
    <w:p w:rsidR="00286878" w:rsidRPr="00241CDD" w:rsidRDefault="00286878" w:rsidP="00CB624D">
      <w:pPr>
        <w:pStyle w:val="NoSpacing"/>
        <w:ind w:right="-330"/>
        <w:jc w:val="both"/>
        <w:rPr>
          <w:rStyle w:val="Heading3Char"/>
          <w:rFonts w:asciiTheme="majorHAnsi" w:eastAsia="Calibri" w:hAnsiTheme="majorHAnsi" w:cstheme="majorHAnsi"/>
          <w:b w:val="0"/>
          <w:bCs w:val="0"/>
          <w:color w:val="auto"/>
          <w:sz w:val="21"/>
          <w:szCs w:val="21"/>
        </w:rPr>
      </w:pPr>
    </w:p>
    <w:p w:rsidR="004C0121" w:rsidRPr="00241CDD" w:rsidRDefault="004C0121" w:rsidP="00CB624D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241CDD">
        <w:rPr>
          <w:rFonts w:asciiTheme="majorHAnsi" w:hAnsiTheme="majorHAnsi" w:cstheme="majorHAnsi"/>
          <w:sz w:val="24"/>
          <w:szCs w:val="24"/>
          <w:u w:val="single"/>
        </w:rPr>
        <w:t>Ratification</w:t>
      </w:r>
    </w:p>
    <w:p w:rsidR="004C0121" w:rsidRPr="00241CDD" w:rsidRDefault="00286878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</w:pP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This policy was ratified by </w:t>
      </w:r>
      <w:r w:rsidR="00B72C19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the </w:t>
      </w:r>
      <w:r w:rsidR="00280651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College</w:t>
      </w: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 Council </w:t>
      </w:r>
      <w:r w:rsidR="00B72C19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o</w:t>
      </w:r>
      <w:r w:rsidR="00183537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n </w:t>
      </w:r>
      <w:r w:rsidR="004C0121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16</w:t>
      </w:r>
      <w:r w:rsidR="004C0121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  <w:vertAlign w:val="superscript"/>
        </w:rPr>
        <w:t>th</w:t>
      </w:r>
      <w:r w:rsidR="004C0121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 August 2016</w:t>
      </w:r>
    </w:p>
    <w:p w:rsidR="004C0121" w:rsidRPr="00241CDD" w:rsidRDefault="004C0121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</w:pP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This policy was reviewed and re-ratif</w:t>
      </w:r>
      <w:r w:rsidR="008B120E"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i</w:t>
      </w: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>ed on 12</w:t>
      </w: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  <w:vertAlign w:val="superscript"/>
        </w:rPr>
        <w:t>th</w:t>
      </w:r>
      <w:r w:rsidRPr="00241CDD">
        <w:rPr>
          <w:rStyle w:val="Emphasis"/>
          <w:rFonts w:asciiTheme="majorHAnsi" w:hAnsiTheme="majorHAnsi" w:cstheme="majorHAnsi"/>
          <w:bCs/>
          <w:i w:val="0"/>
          <w:sz w:val="24"/>
          <w:szCs w:val="24"/>
        </w:rPr>
        <w:t xml:space="preserve"> December, 2017.</w:t>
      </w:r>
    </w:p>
    <w:p w:rsidR="00183537" w:rsidRPr="00241CDD" w:rsidRDefault="00183537" w:rsidP="004C0121">
      <w:pPr>
        <w:ind w:right="-330"/>
        <w:rPr>
          <w:rFonts w:asciiTheme="majorHAnsi" w:hAnsiTheme="majorHAnsi" w:cstheme="majorHAnsi"/>
          <w:sz w:val="21"/>
          <w:szCs w:val="21"/>
        </w:rPr>
      </w:pPr>
    </w:p>
    <w:p w:rsidR="008766FB" w:rsidRPr="00241CDD" w:rsidRDefault="008766FB" w:rsidP="004C0121">
      <w:pPr>
        <w:pStyle w:val="NoSpacing"/>
        <w:ind w:right="-33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241CDD">
        <w:rPr>
          <w:rFonts w:asciiTheme="majorHAnsi" w:hAnsiTheme="majorHAnsi" w:cstheme="majorHAnsi"/>
          <w:sz w:val="24"/>
          <w:szCs w:val="24"/>
          <w:u w:val="single"/>
        </w:rPr>
        <w:t>References:</w:t>
      </w:r>
    </w:p>
    <w:p w:rsidR="008766FB" w:rsidRPr="00C31770" w:rsidRDefault="008766FB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sz w:val="24"/>
          <w:szCs w:val="24"/>
        </w:rPr>
      </w:pPr>
      <w:bookmarkStart w:id="0" w:name="_GoBack"/>
      <w:r w:rsidRPr="00C31770">
        <w:rPr>
          <w:rStyle w:val="Emphasis"/>
          <w:rFonts w:asciiTheme="majorHAnsi" w:hAnsiTheme="majorHAnsi" w:cstheme="majorHAnsi"/>
          <w:bCs/>
          <w:sz w:val="24"/>
          <w:szCs w:val="24"/>
        </w:rPr>
        <w:t>VRQA Child Safe Standards Toolkit</w:t>
      </w:r>
    </w:p>
    <w:p w:rsidR="008766FB" w:rsidRPr="00C31770" w:rsidRDefault="008766FB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sz w:val="24"/>
          <w:szCs w:val="24"/>
        </w:rPr>
      </w:pPr>
      <w:r w:rsidRPr="00C31770">
        <w:rPr>
          <w:rStyle w:val="Emphasis"/>
          <w:rFonts w:asciiTheme="majorHAnsi" w:hAnsiTheme="majorHAnsi" w:cstheme="majorHAnsi"/>
          <w:bCs/>
          <w:sz w:val="24"/>
          <w:szCs w:val="24"/>
        </w:rPr>
        <w:t>Creating a Child Safe Organisation Guide p.22</w:t>
      </w:r>
    </w:p>
    <w:p w:rsidR="008766FB" w:rsidRPr="00C31770" w:rsidRDefault="008766FB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sz w:val="24"/>
          <w:szCs w:val="24"/>
        </w:rPr>
      </w:pPr>
      <w:r w:rsidRPr="00C31770">
        <w:rPr>
          <w:rStyle w:val="Emphasis"/>
          <w:rFonts w:asciiTheme="majorHAnsi" w:hAnsiTheme="majorHAnsi" w:cstheme="majorHAnsi"/>
          <w:bCs/>
          <w:sz w:val="24"/>
          <w:szCs w:val="24"/>
        </w:rPr>
        <w:t>An Overview of the Victorian Child Safe Standards State of Victoria, DHHS November 2015</w:t>
      </w:r>
    </w:p>
    <w:p w:rsidR="008B5F40" w:rsidRPr="00C31770" w:rsidRDefault="008766FB" w:rsidP="004C0121">
      <w:pPr>
        <w:pStyle w:val="NoSpacing"/>
        <w:ind w:right="-330"/>
        <w:jc w:val="both"/>
        <w:rPr>
          <w:rStyle w:val="Emphasis"/>
          <w:rFonts w:asciiTheme="majorHAnsi" w:hAnsiTheme="majorHAnsi" w:cstheme="majorHAnsi"/>
          <w:bCs/>
          <w:sz w:val="24"/>
          <w:szCs w:val="24"/>
        </w:rPr>
      </w:pPr>
      <w:r w:rsidRPr="00C31770">
        <w:rPr>
          <w:rStyle w:val="Emphasis"/>
          <w:rFonts w:asciiTheme="majorHAnsi" w:hAnsiTheme="majorHAnsi" w:cstheme="majorHAnsi"/>
          <w:bCs/>
          <w:sz w:val="24"/>
          <w:szCs w:val="24"/>
        </w:rPr>
        <w:t>Protect – Identifying All Forms of Child Abuse in Victorian Schools 2016</w:t>
      </w:r>
      <w:bookmarkEnd w:id="0"/>
    </w:p>
    <w:sectPr w:rsidR="008B5F40" w:rsidRPr="00C3177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DB" w:rsidRDefault="003514DB" w:rsidP="000B635D">
      <w:pPr>
        <w:spacing w:after="0" w:line="240" w:lineRule="auto"/>
      </w:pPr>
      <w:r>
        <w:separator/>
      </w:r>
    </w:p>
  </w:endnote>
  <w:endnote w:type="continuationSeparator" w:id="0">
    <w:p w:rsidR="003514DB" w:rsidRDefault="003514DB" w:rsidP="000B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3301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1EA" w:rsidRDefault="000B21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7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21EA" w:rsidRDefault="000B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DB" w:rsidRDefault="003514DB" w:rsidP="000B635D">
      <w:pPr>
        <w:spacing w:after="0" w:line="240" w:lineRule="auto"/>
      </w:pPr>
      <w:r>
        <w:separator/>
      </w:r>
    </w:p>
  </w:footnote>
  <w:footnote w:type="continuationSeparator" w:id="0">
    <w:p w:rsidR="003514DB" w:rsidRDefault="003514DB" w:rsidP="000B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18"/>
      <w:gridCol w:w="2498"/>
    </w:tblGrid>
    <w:tr w:rsidR="000B21EA" w:rsidTr="000B21EA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21EA" w:rsidRPr="009E0541" w:rsidRDefault="000B21EA" w:rsidP="009E0258">
          <w:pPr>
            <w:pStyle w:val="Title"/>
            <w:rPr>
              <w:b w:val="0"/>
              <w:sz w:val="36"/>
              <w:lang w:eastAsia="en-AU"/>
            </w:rPr>
          </w:pPr>
        </w:p>
        <w:p w:rsidR="000B21EA" w:rsidRPr="009E0541" w:rsidRDefault="000B21EA" w:rsidP="009E0258">
          <w:pPr>
            <w:pStyle w:val="Title"/>
            <w:rPr>
              <w:b w:val="0"/>
              <w:lang w:eastAsia="en-AU"/>
            </w:rPr>
          </w:pPr>
          <w:r w:rsidRPr="009E0541">
            <w:rPr>
              <w:b w:val="0"/>
              <w:lang w:eastAsia="en-AU"/>
            </w:rPr>
            <w:t>child safe</w:t>
          </w:r>
          <w:r w:rsidR="009E0258" w:rsidRPr="009E0541">
            <w:rPr>
              <w:b w:val="0"/>
              <w:lang w:eastAsia="en-AU"/>
            </w:rPr>
            <w:t xml:space="preserve"> standard 4, 2016</w:t>
          </w:r>
        </w:p>
        <w:p w:rsidR="009E0258" w:rsidRPr="009E0541" w:rsidRDefault="009E0258" w:rsidP="009E0258">
          <w:pPr>
            <w:pStyle w:val="Title"/>
            <w:rPr>
              <w:b w:val="0"/>
              <w:sz w:val="36"/>
              <w:lang w:eastAsia="en-AU"/>
            </w:rPr>
          </w:pPr>
        </w:p>
        <w:p w:rsidR="009E0258" w:rsidRPr="009E0541" w:rsidRDefault="009E0258" w:rsidP="009E0258">
          <w:pPr>
            <w:pStyle w:val="Title"/>
            <w:rPr>
              <w:b w:val="0"/>
              <w:sz w:val="36"/>
              <w:lang w:eastAsia="en-AU"/>
            </w:rPr>
          </w:pPr>
          <w:r w:rsidRPr="009E0541">
            <w:rPr>
              <w:b w:val="0"/>
              <w:sz w:val="36"/>
              <w:lang w:eastAsia="en-AU"/>
            </w:rPr>
            <w:t>human resources policy</w:t>
          </w:r>
        </w:p>
        <w:p w:rsidR="009E0258" w:rsidRPr="009E0258" w:rsidRDefault="009E0258" w:rsidP="009E0258">
          <w:pPr>
            <w:pStyle w:val="Title"/>
            <w:rPr>
              <w:b w:val="0"/>
              <w:sz w:val="36"/>
              <w:lang w:eastAsia="en-AU"/>
            </w:rPr>
          </w:pP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B21EA" w:rsidRDefault="000B21EA" w:rsidP="000B21EA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143510</wp:posOffset>
                </wp:positionV>
                <wp:extent cx="1002487" cy="1051560"/>
                <wp:effectExtent l="0" t="0" r="762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487" cy="1051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B635D" w:rsidRPr="004D0DED" w:rsidRDefault="000B635D" w:rsidP="00DB295F">
    <w:pPr>
      <w:tabs>
        <w:tab w:val="left" w:pos="1016"/>
      </w:tabs>
      <w:ind w:right="-330"/>
      <w:rPr>
        <w:rFonts w:ascii="Calibri" w:hAnsi="Calibri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2DA"/>
    <w:multiLevelType w:val="hybridMultilevel"/>
    <w:tmpl w:val="9CD8A970"/>
    <w:lvl w:ilvl="0" w:tplc="6C685E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E270BD"/>
    <w:multiLevelType w:val="hybridMultilevel"/>
    <w:tmpl w:val="B0A65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6301"/>
    <w:multiLevelType w:val="hybridMultilevel"/>
    <w:tmpl w:val="B206337A"/>
    <w:lvl w:ilvl="0" w:tplc="6C685E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B40AE"/>
    <w:multiLevelType w:val="hybridMultilevel"/>
    <w:tmpl w:val="22AA5592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A3DE1"/>
    <w:multiLevelType w:val="hybridMultilevel"/>
    <w:tmpl w:val="32D469B0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649"/>
    <w:multiLevelType w:val="hybridMultilevel"/>
    <w:tmpl w:val="A3488ADC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63CE"/>
    <w:multiLevelType w:val="hybridMultilevel"/>
    <w:tmpl w:val="68249530"/>
    <w:lvl w:ilvl="0" w:tplc="7160014E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472CD"/>
    <w:multiLevelType w:val="hybridMultilevel"/>
    <w:tmpl w:val="C7BCF3A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31B8"/>
    <w:multiLevelType w:val="hybridMultilevel"/>
    <w:tmpl w:val="8E387880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106B4"/>
    <w:multiLevelType w:val="hybridMultilevel"/>
    <w:tmpl w:val="96AA6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5872"/>
    <w:multiLevelType w:val="hybridMultilevel"/>
    <w:tmpl w:val="03F88EAA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00926"/>
    <w:multiLevelType w:val="hybridMultilevel"/>
    <w:tmpl w:val="49E2EE5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017C"/>
    <w:multiLevelType w:val="hybridMultilevel"/>
    <w:tmpl w:val="ECAE7704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40308"/>
    <w:multiLevelType w:val="hybridMultilevel"/>
    <w:tmpl w:val="174409E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26A34"/>
    <w:multiLevelType w:val="hybridMultilevel"/>
    <w:tmpl w:val="30942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A30"/>
    <w:multiLevelType w:val="hybridMultilevel"/>
    <w:tmpl w:val="0F38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1"/>
  </w:num>
  <w:num w:numId="15">
    <w:abstractNumId w:val="14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188D"/>
    <w:rsid w:val="000072A0"/>
    <w:rsid w:val="000276EB"/>
    <w:rsid w:val="000302A3"/>
    <w:rsid w:val="000448B5"/>
    <w:rsid w:val="00091DD9"/>
    <w:rsid w:val="000B21EA"/>
    <w:rsid w:val="000B635D"/>
    <w:rsid w:val="000C3CDA"/>
    <w:rsid w:val="00135515"/>
    <w:rsid w:val="00183537"/>
    <w:rsid w:val="001D4FF1"/>
    <w:rsid w:val="001D6C99"/>
    <w:rsid w:val="00207D5C"/>
    <w:rsid w:val="00224F17"/>
    <w:rsid w:val="00241599"/>
    <w:rsid w:val="00241CDD"/>
    <w:rsid w:val="00280099"/>
    <w:rsid w:val="00280651"/>
    <w:rsid w:val="00281E99"/>
    <w:rsid w:val="00286878"/>
    <w:rsid w:val="002C7F9C"/>
    <w:rsid w:val="002E46DB"/>
    <w:rsid w:val="002F4C8D"/>
    <w:rsid w:val="00342A38"/>
    <w:rsid w:val="003514DB"/>
    <w:rsid w:val="00357E40"/>
    <w:rsid w:val="00360178"/>
    <w:rsid w:val="00365E49"/>
    <w:rsid w:val="003A073E"/>
    <w:rsid w:val="003B5851"/>
    <w:rsid w:val="003C0605"/>
    <w:rsid w:val="003D6325"/>
    <w:rsid w:val="003F1C94"/>
    <w:rsid w:val="0041411D"/>
    <w:rsid w:val="00426C80"/>
    <w:rsid w:val="00430215"/>
    <w:rsid w:val="00440BDE"/>
    <w:rsid w:val="0047793B"/>
    <w:rsid w:val="004936BB"/>
    <w:rsid w:val="00493DA1"/>
    <w:rsid w:val="004C0121"/>
    <w:rsid w:val="004D0DED"/>
    <w:rsid w:val="005E3B6A"/>
    <w:rsid w:val="0062007E"/>
    <w:rsid w:val="006342C1"/>
    <w:rsid w:val="00636FD8"/>
    <w:rsid w:val="00684F83"/>
    <w:rsid w:val="00692DFE"/>
    <w:rsid w:val="006A3BAE"/>
    <w:rsid w:val="006B1BE6"/>
    <w:rsid w:val="00701CB8"/>
    <w:rsid w:val="00722273"/>
    <w:rsid w:val="007A3168"/>
    <w:rsid w:val="007A7785"/>
    <w:rsid w:val="007C35C5"/>
    <w:rsid w:val="008001EE"/>
    <w:rsid w:val="00821A97"/>
    <w:rsid w:val="008667A3"/>
    <w:rsid w:val="008766FB"/>
    <w:rsid w:val="00891AE0"/>
    <w:rsid w:val="00893016"/>
    <w:rsid w:val="008A6F19"/>
    <w:rsid w:val="008B120E"/>
    <w:rsid w:val="008B5F40"/>
    <w:rsid w:val="008D0106"/>
    <w:rsid w:val="008F6296"/>
    <w:rsid w:val="00912DA4"/>
    <w:rsid w:val="00931966"/>
    <w:rsid w:val="00992440"/>
    <w:rsid w:val="009E0258"/>
    <w:rsid w:val="009E0541"/>
    <w:rsid w:val="00A22D84"/>
    <w:rsid w:val="00A97010"/>
    <w:rsid w:val="00AA29D3"/>
    <w:rsid w:val="00AB2816"/>
    <w:rsid w:val="00B32355"/>
    <w:rsid w:val="00B64BE4"/>
    <w:rsid w:val="00B72C19"/>
    <w:rsid w:val="00B85E6B"/>
    <w:rsid w:val="00BC36A3"/>
    <w:rsid w:val="00BE2EA6"/>
    <w:rsid w:val="00BE67C8"/>
    <w:rsid w:val="00C31770"/>
    <w:rsid w:val="00CB624D"/>
    <w:rsid w:val="00CF31B9"/>
    <w:rsid w:val="00D02305"/>
    <w:rsid w:val="00D10A58"/>
    <w:rsid w:val="00D42A2E"/>
    <w:rsid w:val="00DB295F"/>
    <w:rsid w:val="00DB36B6"/>
    <w:rsid w:val="00DC79AA"/>
    <w:rsid w:val="00DD0BCB"/>
    <w:rsid w:val="00E024C1"/>
    <w:rsid w:val="00E71FB6"/>
    <w:rsid w:val="00E92890"/>
    <w:rsid w:val="00F03094"/>
    <w:rsid w:val="00F405D3"/>
    <w:rsid w:val="00FA30B0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4E372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9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BodyTextIndent">
    <w:name w:val="Body Text Indent"/>
    <w:basedOn w:val="Normal"/>
    <w:link w:val="BodyTextIndentChar"/>
    <w:rsid w:val="000072A0"/>
    <w:pPr>
      <w:spacing w:after="0" w:line="240" w:lineRule="auto"/>
      <w:ind w:left="175" w:hanging="17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07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1C9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35D"/>
  </w:style>
  <w:style w:type="paragraph" w:styleId="Title">
    <w:name w:val="Title"/>
    <w:basedOn w:val="Normal"/>
    <w:link w:val="TitleChar"/>
    <w:qFormat/>
    <w:rsid w:val="000B21EA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21EA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0B21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3AEC1-7808-4E7B-845B-0C903DD2B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C670A-CF8F-42CE-B8AB-230B07ABB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A908E-D16E-42F9-9E19-60197B9DF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10</cp:revision>
  <dcterms:created xsi:type="dcterms:W3CDTF">2017-12-03T05:35:00Z</dcterms:created>
  <dcterms:modified xsi:type="dcterms:W3CDTF">2017-12-03T06:41:00Z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