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559" w:rsidRPr="00FA7523" w:rsidRDefault="00EC6559" w:rsidP="00EC6559">
      <w:pPr>
        <w:rPr>
          <w:rFonts w:ascii="Calibri Light" w:hAnsi="Calibri Light"/>
          <w:i/>
          <w:sz w:val="24"/>
        </w:rPr>
      </w:pPr>
      <w:r w:rsidRPr="00FA7523">
        <w:rPr>
          <w:rFonts w:ascii="Calibri Light" w:hAnsi="Calibri Light"/>
          <w:i/>
          <w:sz w:val="24"/>
        </w:rPr>
        <w:t xml:space="preserve">Charles La Trobe P-12 College takes a zero-tolerance approach to child abuse and is fully committed to ensuring that its strategies, policies, procedures and practices meet all </w:t>
      </w:r>
      <w:r w:rsidRPr="00FA7523">
        <w:rPr>
          <w:rFonts w:ascii="Calibri Light" w:hAnsi="Calibri Light"/>
          <w:b/>
          <w:i/>
          <w:sz w:val="24"/>
        </w:rPr>
        <w:t xml:space="preserve">Child Safety Standards as specified in Ministerial Order No. 870 (2015) </w:t>
      </w:r>
      <w:r w:rsidRPr="00FA7523">
        <w:rPr>
          <w:rFonts w:ascii="Calibri Light" w:hAnsi="Calibri Light"/>
          <w:i/>
          <w:sz w:val="24"/>
        </w:rPr>
        <w:t xml:space="preserve"> </w:t>
      </w:r>
    </w:p>
    <w:p w:rsidR="005C14CE" w:rsidRPr="00196A6D" w:rsidRDefault="005C14CE" w:rsidP="00196A6D">
      <w:pPr>
        <w:pStyle w:val="NoSpacing"/>
        <w:ind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  <w:u w:val="single"/>
        </w:rPr>
        <w:t>Rationale</w:t>
      </w:r>
    </w:p>
    <w:p w:rsidR="005C14CE" w:rsidRPr="006D285C" w:rsidRDefault="005C14CE" w:rsidP="00196A6D">
      <w:pPr>
        <w:pStyle w:val="NoSpacing"/>
        <w:numPr>
          <w:ilvl w:val="0"/>
          <w:numId w:val="4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 xml:space="preserve">Some </w:t>
      </w:r>
      <w:r w:rsidR="00956E38" w:rsidRPr="006D285C">
        <w:rPr>
          <w:rFonts w:asciiTheme="majorHAnsi" w:hAnsiTheme="majorHAnsi"/>
          <w:sz w:val="24"/>
          <w:szCs w:val="24"/>
        </w:rPr>
        <w:t>children</w:t>
      </w:r>
      <w:r w:rsidRPr="006D285C">
        <w:rPr>
          <w:rFonts w:asciiTheme="majorHAnsi" w:hAnsiTheme="majorHAnsi"/>
          <w:sz w:val="24"/>
          <w:szCs w:val="24"/>
        </w:rPr>
        <w:t xml:space="preserve"> will enter school with an identified need for which they are eligible for funding under the Program for </w:t>
      </w:r>
      <w:r w:rsidR="00956E38" w:rsidRPr="006D285C">
        <w:rPr>
          <w:rFonts w:asciiTheme="majorHAnsi" w:hAnsiTheme="majorHAnsi"/>
          <w:sz w:val="24"/>
          <w:szCs w:val="24"/>
        </w:rPr>
        <w:t>Children</w:t>
      </w:r>
      <w:r w:rsidRPr="006D285C">
        <w:rPr>
          <w:rFonts w:asciiTheme="majorHAnsi" w:hAnsiTheme="majorHAnsi"/>
          <w:sz w:val="24"/>
          <w:szCs w:val="24"/>
        </w:rPr>
        <w:t xml:space="preserve"> with Disabilities.</w:t>
      </w:r>
    </w:p>
    <w:p w:rsidR="005C14CE" w:rsidRPr="006D285C" w:rsidRDefault="005C14CE" w:rsidP="00196A6D">
      <w:pPr>
        <w:pStyle w:val="NoSpacing"/>
        <w:numPr>
          <w:ilvl w:val="0"/>
          <w:numId w:val="4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 xml:space="preserve">Some </w:t>
      </w:r>
      <w:r w:rsidR="00956E38" w:rsidRPr="006D285C">
        <w:rPr>
          <w:rFonts w:asciiTheme="majorHAnsi" w:hAnsiTheme="majorHAnsi"/>
          <w:sz w:val="24"/>
          <w:szCs w:val="24"/>
        </w:rPr>
        <w:t>children</w:t>
      </w:r>
      <w:r w:rsidRPr="006D285C">
        <w:rPr>
          <w:rFonts w:asciiTheme="majorHAnsi" w:hAnsiTheme="majorHAnsi"/>
          <w:sz w:val="24"/>
          <w:szCs w:val="24"/>
        </w:rPr>
        <w:t xml:space="preserve"> may be identified through the school referral process and relevant testing to be emotionally, socially or academically at risk.</w:t>
      </w:r>
    </w:p>
    <w:p w:rsidR="005C14CE" w:rsidRPr="006D285C" w:rsidRDefault="005B2DEE" w:rsidP="00196A6D">
      <w:pPr>
        <w:pStyle w:val="NoSpacing"/>
        <w:numPr>
          <w:ilvl w:val="0"/>
          <w:numId w:val="4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Additional</w:t>
      </w:r>
      <w:r w:rsidR="005C14CE" w:rsidRPr="006D285C">
        <w:rPr>
          <w:rFonts w:asciiTheme="majorHAnsi" w:hAnsiTheme="majorHAnsi"/>
          <w:sz w:val="24"/>
          <w:szCs w:val="24"/>
        </w:rPr>
        <w:t xml:space="preserve"> may emerge sometime after the student has commenced school.</w:t>
      </w:r>
    </w:p>
    <w:p w:rsidR="009F1888" w:rsidRPr="006D285C" w:rsidRDefault="009F1888" w:rsidP="00196A6D">
      <w:pPr>
        <w:pStyle w:val="NoSpacing"/>
        <w:numPr>
          <w:ilvl w:val="0"/>
          <w:numId w:val="4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>Disability funding may or may not transfer with the student from the feeder primary school.</w:t>
      </w:r>
    </w:p>
    <w:p w:rsidR="005C14CE" w:rsidRPr="006D285C" w:rsidRDefault="005C14CE" w:rsidP="00196A6D">
      <w:pPr>
        <w:pStyle w:val="NoSpacing"/>
        <w:ind w:left="567" w:right="-330"/>
        <w:jc w:val="both"/>
        <w:rPr>
          <w:rFonts w:asciiTheme="majorHAnsi" w:hAnsiTheme="majorHAnsi"/>
          <w:sz w:val="24"/>
          <w:szCs w:val="24"/>
        </w:rPr>
      </w:pPr>
    </w:p>
    <w:p w:rsidR="005C14CE" w:rsidRPr="006D285C" w:rsidRDefault="005C14CE" w:rsidP="00196A6D">
      <w:pPr>
        <w:pStyle w:val="NoSpacing"/>
        <w:ind w:right="-330"/>
        <w:jc w:val="both"/>
        <w:rPr>
          <w:rFonts w:asciiTheme="majorHAnsi" w:hAnsiTheme="majorHAnsi"/>
          <w:sz w:val="24"/>
          <w:szCs w:val="24"/>
          <w:u w:val="single"/>
        </w:rPr>
      </w:pPr>
      <w:r w:rsidRPr="006D285C">
        <w:rPr>
          <w:rFonts w:asciiTheme="majorHAnsi" w:hAnsiTheme="majorHAnsi"/>
          <w:sz w:val="24"/>
          <w:szCs w:val="24"/>
          <w:u w:val="single"/>
        </w:rPr>
        <w:t>Purpose</w:t>
      </w:r>
    </w:p>
    <w:p w:rsidR="005C14CE" w:rsidRPr="006D285C" w:rsidRDefault="005C14CE" w:rsidP="00196A6D">
      <w:pPr>
        <w:pStyle w:val="NoSpacing"/>
        <w:numPr>
          <w:ilvl w:val="0"/>
          <w:numId w:val="3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 xml:space="preserve">To ensure </w:t>
      </w:r>
      <w:r w:rsidR="0031670F" w:rsidRPr="006D285C">
        <w:rPr>
          <w:rFonts w:asciiTheme="majorHAnsi" w:hAnsiTheme="majorHAnsi"/>
          <w:sz w:val="24"/>
          <w:szCs w:val="24"/>
        </w:rPr>
        <w:t>Charles La Trobe College</w:t>
      </w:r>
      <w:r w:rsidRPr="006D285C">
        <w:rPr>
          <w:rFonts w:asciiTheme="majorHAnsi" w:hAnsiTheme="majorHAnsi"/>
          <w:sz w:val="24"/>
          <w:szCs w:val="24"/>
        </w:rPr>
        <w:t xml:space="preserve"> has a specific plan to engage </w:t>
      </w:r>
      <w:r w:rsidR="00956E38" w:rsidRPr="006D285C">
        <w:rPr>
          <w:rFonts w:asciiTheme="majorHAnsi" w:hAnsiTheme="majorHAnsi"/>
          <w:sz w:val="24"/>
          <w:szCs w:val="24"/>
        </w:rPr>
        <w:t>children</w:t>
      </w:r>
      <w:r w:rsidRPr="006D285C">
        <w:rPr>
          <w:rFonts w:asciiTheme="majorHAnsi" w:hAnsiTheme="majorHAnsi"/>
          <w:sz w:val="24"/>
          <w:szCs w:val="24"/>
        </w:rPr>
        <w:t xml:space="preserve"> at risk and to cater for their needs.</w:t>
      </w:r>
    </w:p>
    <w:p w:rsidR="009D352D" w:rsidRPr="006D285C" w:rsidRDefault="009D352D" w:rsidP="00196A6D">
      <w:pPr>
        <w:pStyle w:val="NoSpacing"/>
        <w:numPr>
          <w:ilvl w:val="0"/>
          <w:numId w:val="3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>To ensure the school complies with DET policy and guidelines.</w:t>
      </w:r>
    </w:p>
    <w:p w:rsidR="00956E38" w:rsidRPr="006D285C" w:rsidRDefault="00956E38" w:rsidP="00196A6D">
      <w:pPr>
        <w:pStyle w:val="NoSpacing"/>
        <w:numPr>
          <w:ilvl w:val="0"/>
          <w:numId w:val="3"/>
        </w:numPr>
        <w:ind w:left="567" w:right="-472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>To ensure the College complies with Child Safe Standards 1 &amp; 2.</w:t>
      </w:r>
    </w:p>
    <w:p w:rsidR="005C14CE" w:rsidRPr="006D285C" w:rsidRDefault="005C14CE" w:rsidP="00196A6D">
      <w:pPr>
        <w:pStyle w:val="NoSpacing"/>
        <w:ind w:left="567" w:right="-330"/>
        <w:jc w:val="both"/>
        <w:rPr>
          <w:rFonts w:asciiTheme="majorHAnsi" w:hAnsiTheme="majorHAnsi"/>
          <w:sz w:val="24"/>
          <w:szCs w:val="24"/>
        </w:rPr>
      </w:pPr>
    </w:p>
    <w:p w:rsidR="005C14CE" w:rsidRPr="006D285C" w:rsidRDefault="005C14CE" w:rsidP="00196A6D">
      <w:pPr>
        <w:pStyle w:val="NoSpacing"/>
        <w:ind w:right="-330"/>
        <w:jc w:val="both"/>
        <w:rPr>
          <w:rFonts w:asciiTheme="majorHAnsi" w:hAnsiTheme="majorHAnsi"/>
          <w:sz w:val="24"/>
          <w:szCs w:val="24"/>
          <w:u w:val="single"/>
        </w:rPr>
      </w:pPr>
      <w:r w:rsidRPr="006D285C">
        <w:rPr>
          <w:rFonts w:asciiTheme="majorHAnsi" w:hAnsiTheme="majorHAnsi"/>
          <w:sz w:val="24"/>
          <w:szCs w:val="24"/>
          <w:u w:val="single"/>
        </w:rPr>
        <w:t>Definitions</w:t>
      </w:r>
    </w:p>
    <w:p w:rsidR="005C14CE" w:rsidRPr="006D285C" w:rsidRDefault="005C14CE" w:rsidP="00196A6D">
      <w:pPr>
        <w:pStyle w:val="NoSpacing"/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>“</w:t>
      </w:r>
      <w:r w:rsidR="00956E38" w:rsidRPr="006D285C">
        <w:rPr>
          <w:rFonts w:asciiTheme="majorHAnsi" w:hAnsiTheme="majorHAnsi"/>
          <w:sz w:val="24"/>
          <w:szCs w:val="24"/>
        </w:rPr>
        <w:t>Children</w:t>
      </w:r>
      <w:r w:rsidRPr="006D285C">
        <w:rPr>
          <w:rFonts w:asciiTheme="majorHAnsi" w:hAnsiTheme="majorHAnsi"/>
          <w:sz w:val="24"/>
          <w:szCs w:val="24"/>
        </w:rPr>
        <w:t xml:space="preserve"> at Risk” are </w:t>
      </w:r>
      <w:r w:rsidR="00956E38" w:rsidRPr="006D285C">
        <w:rPr>
          <w:rFonts w:asciiTheme="majorHAnsi" w:hAnsiTheme="majorHAnsi"/>
          <w:sz w:val="24"/>
          <w:szCs w:val="24"/>
        </w:rPr>
        <w:t>children</w:t>
      </w:r>
      <w:r w:rsidRPr="006D285C">
        <w:rPr>
          <w:rFonts w:asciiTheme="majorHAnsi" w:hAnsiTheme="majorHAnsi"/>
          <w:sz w:val="24"/>
          <w:szCs w:val="24"/>
        </w:rPr>
        <w:t xml:space="preserve"> who have been identified with special learning needs and require alternative consideration and program modification for them to reach their potential.</w:t>
      </w:r>
    </w:p>
    <w:p w:rsidR="005C14CE" w:rsidRPr="006D285C" w:rsidRDefault="005C14CE" w:rsidP="00196A6D">
      <w:pPr>
        <w:pStyle w:val="NoSpacing"/>
        <w:ind w:left="567" w:right="-330"/>
        <w:jc w:val="both"/>
        <w:rPr>
          <w:rFonts w:asciiTheme="majorHAnsi" w:hAnsiTheme="majorHAnsi"/>
          <w:sz w:val="24"/>
          <w:szCs w:val="24"/>
        </w:rPr>
      </w:pPr>
    </w:p>
    <w:p w:rsidR="005C14CE" w:rsidRPr="00196A6D" w:rsidRDefault="005C14CE" w:rsidP="00196A6D">
      <w:pPr>
        <w:pStyle w:val="NoSpacing"/>
        <w:ind w:right="-330"/>
        <w:jc w:val="both"/>
        <w:rPr>
          <w:rFonts w:asciiTheme="majorHAnsi" w:hAnsiTheme="majorHAnsi"/>
          <w:sz w:val="24"/>
          <w:szCs w:val="24"/>
          <w:u w:val="single"/>
        </w:rPr>
      </w:pPr>
      <w:r w:rsidRPr="00196A6D">
        <w:rPr>
          <w:rFonts w:asciiTheme="majorHAnsi" w:hAnsiTheme="majorHAnsi"/>
          <w:sz w:val="24"/>
          <w:szCs w:val="24"/>
          <w:u w:val="single"/>
        </w:rPr>
        <w:t>Implementation</w:t>
      </w:r>
    </w:p>
    <w:p w:rsidR="00956E38" w:rsidRPr="00213C03" w:rsidRDefault="00956E38" w:rsidP="00196A6D">
      <w:pPr>
        <w:pStyle w:val="ListParagraph"/>
        <w:numPr>
          <w:ilvl w:val="0"/>
          <w:numId w:val="9"/>
        </w:numPr>
        <w:ind w:left="567" w:right="-472"/>
        <w:jc w:val="both"/>
        <w:rPr>
          <w:rFonts w:asciiTheme="majorHAnsi" w:hAnsiTheme="majorHAnsi"/>
        </w:rPr>
      </w:pPr>
      <w:r w:rsidRPr="00213C03">
        <w:rPr>
          <w:rFonts w:asciiTheme="majorHAnsi" w:hAnsiTheme="majorHAnsi"/>
        </w:rPr>
        <w:t>The safety and wellbeing of children is the highest priority for the College.</w:t>
      </w:r>
    </w:p>
    <w:p w:rsidR="005C14CE" w:rsidRPr="006D285C" w:rsidRDefault="005C14CE" w:rsidP="00196A6D">
      <w:pPr>
        <w:pStyle w:val="NoSpacing"/>
        <w:numPr>
          <w:ilvl w:val="0"/>
          <w:numId w:val="9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 xml:space="preserve">The school will establish a formal collaborative process for referral of </w:t>
      </w:r>
      <w:r w:rsidR="00956E38" w:rsidRPr="006D285C">
        <w:rPr>
          <w:rFonts w:asciiTheme="majorHAnsi" w:hAnsiTheme="majorHAnsi"/>
          <w:sz w:val="24"/>
          <w:szCs w:val="24"/>
        </w:rPr>
        <w:t>children</w:t>
      </w:r>
      <w:r w:rsidRPr="006D285C">
        <w:rPr>
          <w:rFonts w:asciiTheme="majorHAnsi" w:hAnsiTheme="majorHAnsi"/>
          <w:sz w:val="24"/>
          <w:szCs w:val="24"/>
        </w:rPr>
        <w:t xml:space="preserve"> suspected of being at risk.</w:t>
      </w:r>
    </w:p>
    <w:p w:rsidR="009F1888" w:rsidRPr="006D285C" w:rsidRDefault="009F1888" w:rsidP="00196A6D">
      <w:pPr>
        <w:pStyle w:val="NoSpacing"/>
        <w:numPr>
          <w:ilvl w:val="0"/>
          <w:numId w:val="9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 w:cs="Arial"/>
          <w:sz w:val="24"/>
          <w:szCs w:val="24"/>
        </w:rPr>
        <w:t>If the school receives a student deemed at risk, the Principal will perform a risk assessment and develop an Action Plan that involves parents, staff, guidance officers, the student and any other party.</w:t>
      </w:r>
    </w:p>
    <w:p w:rsidR="00196A6D" w:rsidRDefault="00196A6D" w:rsidP="00196A6D">
      <w:pPr>
        <w:pStyle w:val="NoSpacing"/>
        <w:ind w:left="567" w:right="-613" w:hanging="425"/>
        <w:jc w:val="both"/>
        <w:rPr>
          <w:rFonts w:asciiTheme="majorHAnsi" w:hAnsiTheme="majorHAnsi"/>
          <w:sz w:val="24"/>
          <w:szCs w:val="24"/>
        </w:rPr>
      </w:pPr>
    </w:p>
    <w:p w:rsidR="009F1888" w:rsidRDefault="009F1888" w:rsidP="005B2DEE">
      <w:pPr>
        <w:pStyle w:val="NoSpacing"/>
        <w:ind w:left="567" w:right="-613" w:hanging="425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>Note: Where there is a foreseeable risk, the transferring Principal is required to collect</w:t>
      </w:r>
      <w:r w:rsidR="005B2DEE">
        <w:rPr>
          <w:rFonts w:asciiTheme="majorHAnsi" w:hAnsiTheme="majorHAnsi"/>
          <w:sz w:val="24"/>
          <w:szCs w:val="24"/>
        </w:rPr>
        <w:t xml:space="preserve"> </w:t>
      </w:r>
      <w:r w:rsidRPr="006D285C">
        <w:rPr>
          <w:rFonts w:asciiTheme="majorHAnsi" w:hAnsiTheme="majorHAnsi"/>
          <w:sz w:val="24"/>
          <w:szCs w:val="24"/>
        </w:rPr>
        <w:t>evidence from student rec</w:t>
      </w:r>
      <w:r w:rsidR="00213C03">
        <w:rPr>
          <w:rFonts w:asciiTheme="majorHAnsi" w:hAnsiTheme="majorHAnsi"/>
          <w:sz w:val="24"/>
          <w:szCs w:val="24"/>
        </w:rPr>
        <w:t xml:space="preserve">ords, CASES21 incident reports, student program </w:t>
      </w:r>
      <w:r w:rsidRPr="006D285C">
        <w:rPr>
          <w:rFonts w:asciiTheme="majorHAnsi" w:hAnsiTheme="majorHAnsi"/>
          <w:sz w:val="24"/>
          <w:szCs w:val="24"/>
        </w:rPr>
        <w:t>information</w:t>
      </w:r>
      <w:r w:rsidR="005B2DEE">
        <w:rPr>
          <w:rFonts w:asciiTheme="majorHAnsi" w:hAnsiTheme="majorHAnsi"/>
          <w:sz w:val="24"/>
          <w:szCs w:val="24"/>
        </w:rPr>
        <w:t xml:space="preserve"> </w:t>
      </w:r>
      <w:r w:rsidRPr="006D285C">
        <w:rPr>
          <w:rFonts w:asciiTheme="majorHAnsi" w:hAnsiTheme="majorHAnsi"/>
          <w:sz w:val="24"/>
          <w:szCs w:val="24"/>
        </w:rPr>
        <w:t>or other relevant information provided by school staff and update the transfer note wit</w:t>
      </w:r>
      <w:r w:rsidR="005B2DEE">
        <w:rPr>
          <w:rFonts w:asciiTheme="majorHAnsi" w:hAnsiTheme="majorHAnsi"/>
          <w:sz w:val="24"/>
          <w:szCs w:val="24"/>
        </w:rPr>
        <w:t xml:space="preserve">h </w:t>
      </w:r>
      <w:r w:rsidRPr="006D285C">
        <w:rPr>
          <w:rFonts w:asciiTheme="majorHAnsi" w:hAnsiTheme="majorHAnsi"/>
          <w:sz w:val="24"/>
          <w:szCs w:val="24"/>
        </w:rPr>
        <w:t>the circumstances relevant to the risk such as known triggers that escalate the risk and</w:t>
      </w:r>
      <w:r w:rsidR="005B2DEE">
        <w:rPr>
          <w:rFonts w:asciiTheme="majorHAnsi" w:hAnsiTheme="majorHAnsi"/>
          <w:sz w:val="24"/>
          <w:szCs w:val="24"/>
        </w:rPr>
        <w:t xml:space="preserve"> </w:t>
      </w:r>
      <w:r w:rsidRPr="006D285C">
        <w:rPr>
          <w:rFonts w:asciiTheme="majorHAnsi" w:hAnsiTheme="majorHAnsi"/>
          <w:sz w:val="24"/>
          <w:szCs w:val="24"/>
        </w:rPr>
        <w:t>actions known to lessen or remove the risk.</w:t>
      </w:r>
    </w:p>
    <w:p w:rsidR="00196A6D" w:rsidRPr="006D285C" w:rsidRDefault="00196A6D" w:rsidP="00196A6D">
      <w:pPr>
        <w:pStyle w:val="NoSpacing"/>
        <w:ind w:left="567" w:right="-613" w:hanging="425"/>
        <w:jc w:val="both"/>
        <w:rPr>
          <w:rFonts w:asciiTheme="majorHAnsi" w:hAnsiTheme="majorHAnsi"/>
          <w:sz w:val="24"/>
          <w:szCs w:val="24"/>
        </w:rPr>
      </w:pPr>
    </w:p>
    <w:p w:rsidR="009F1888" w:rsidRPr="006D285C" w:rsidRDefault="009F1888" w:rsidP="00196A6D">
      <w:pPr>
        <w:pStyle w:val="NoSpacing"/>
        <w:numPr>
          <w:ilvl w:val="0"/>
          <w:numId w:val="8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>Parents/</w:t>
      </w:r>
      <w:r w:rsidR="001B1014" w:rsidRPr="006D285C">
        <w:rPr>
          <w:rFonts w:asciiTheme="majorHAnsi" w:hAnsiTheme="majorHAnsi"/>
          <w:sz w:val="24"/>
          <w:szCs w:val="24"/>
        </w:rPr>
        <w:t>carer</w:t>
      </w:r>
      <w:r w:rsidRPr="006D285C">
        <w:rPr>
          <w:rFonts w:asciiTheme="majorHAnsi" w:hAnsiTheme="majorHAnsi"/>
          <w:sz w:val="24"/>
          <w:szCs w:val="24"/>
        </w:rPr>
        <w:t>s must be informed, but their consent is not required for documenting foreseeable risk information or including this information on the transfer note.</w:t>
      </w:r>
    </w:p>
    <w:p w:rsidR="009F1888" w:rsidRPr="006D285C" w:rsidRDefault="009F1888" w:rsidP="00196A6D">
      <w:pPr>
        <w:pStyle w:val="NoSpacing"/>
        <w:numPr>
          <w:ilvl w:val="0"/>
          <w:numId w:val="8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>Privacy provisions require that staff keep the information confidential.</w:t>
      </w:r>
    </w:p>
    <w:p w:rsidR="005C14CE" w:rsidRPr="006D285C" w:rsidRDefault="00213C03" w:rsidP="00196A6D">
      <w:pPr>
        <w:pStyle w:val="NoSpacing"/>
        <w:numPr>
          <w:ilvl w:val="0"/>
          <w:numId w:val="8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If </w:t>
      </w:r>
      <w:r w:rsidR="005C14CE" w:rsidRPr="006D285C">
        <w:rPr>
          <w:rFonts w:asciiTheme="majorHAnsi" w:hAnsiTheme="majorHAnsi"/>
          <w:sz w:val="24"/>
          <w:szCs w:val="24"/>
        </w:rPr>
        <w:t>deemed appropriate, external agencies will be engaged to provide professional input into the identification of the needs of the student.</w:t>
      </w:r>
    </w:p>
    <w:p w:rsidR="005C14CE" w:rsidRPr="006D285C" w:rsidRDefault="005C14CE" w:rsidP="00196A6D">
      <w:pPr>
        <w:pStyle w:val="NoSpacing"/>
        <w:numPr>
          <w:ilvl w:val="0"/>
          <w:numId w:val="8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 xml:space="preserve">All </w:t>
      </w:r>
      <w:r w:rsidR="00956E38" w:rsidRPr="006D285C">
        <w:rPr>
          <w:rFonts w:asciiTheme="majorHAnsi" w:hAnsiTheme="majorHAnsi"/>
          <w:sz w:val="24"/>
          <w:szCs w:val="24"/>
        </w:rPr>
        <w:t>children</w:t>
      </w:r>
      <w:r w:rsidRPr="006D285C">
        <w:rPr>
          <w:rFonts w:asciiTheme="majorHAnsi" w:hAnsiTheme="majorHAnsi"/>
          <w:sz w:val="24"/>
          <w:szCs w:val="24"/>
        </w:rPr>
        <w:t xml:space="preserve"> at risk will be supported through a Student Support Group (SSG).</w:t>
      </w:r>
    </w:p>
    <w:p w:rsidR="005C14CE" w:rsidRPr="006D285C" w:rsidRDefault="005C14CE" w:rsidP="00196A6D">
      <w:pPr>
        <w:pStyle w:val="NoSpacing"/>
        <w:numPr>
          <w:ilvl w:val="0"/>
          <w:numId w:val="8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>The parent/</w:t>
      </w:r>
      <w:r w:rsidR="001B1014" w:rsidRPr="006D285C">
        <w:rPr>
          <w:rFonts w:asciiTheme="majorHAnsi" w:hAnsiTheme="majorHAnsi"/>
          <w:sz w:val="24"/>
          <w:szCs w:val="24"/>
        </w:rPr>
        <w:t>carer and</w:t>
      </w:r>
      <w:r w:rsidR="009F1888" w:rsidRPr="006D285C">
        <w:rPr>
          <w:rFonts w:asciiTheme="majorHAnsi" w:hAnsiTheme="majorHAnsi"/>
          <w:sz w:val="24"/>
          <w:szCs w:val="24"/>
        </w:rPr>
        <w:t xml:space="preserve"> student if applicable,</w:t>
      </w:r>
      <w:r w:rsidRPr="006D285C">
        <w:rPr>
          <w:rFonts w:asciiTheme="majorHAnsi" w:hAnsiTheme="majorHAnsi"/>
          <w:sz w:val="24"/>
          <w:szCs w:val="24"/>
        </w:rPr>
        <w:t xml:space="preserve"> and all persons working with the child will be members.</w:t>
      </w:r>
    </w:p>
    <w:p w:rsidR="005C14CE" w:rsidRPr="006D285C" w:rsidRDefault="005C14CE" w:rsidP="00196A6D">
      <w:pPr>
        <w:pStyle w:val="NoSpacing"/>
        <w:numPr>
          <w:ilvl w:val="0"/>
          <w:numId w:val="8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 xml:space="preserve">The SSG will meet at least twice yearly </w:t>
      </w:r>
      <w:proofErr w:type="gramStart"/>
      <w:r w:rsidRPr="006D285C">
        <w:rPr>
          <w:rFonts w:asciiTheme="majorHAnsi" w:hAnsiTheme="majorHAnsi"/>
          <w:sz w:val="24"/>
          <w:szCs w:val="24"/>
        </w:rPr>
        <w:t>for the purpose of</w:t>
      </w:r>
      <w:proofErr w:type="gramEnd"/>
      <w:r w:rsidRPr="006D285C">
        <w:rPr>
          <w:rFonts w:asciiTheme="majorHAnsi" w:hAnsiTheme="majorHAnsi"/>
          <w:sz w:val="24"/>
          <w:szCs w:val="24"/>
        </w:rPr>
        <w:t xml:space="preserve"> developing and/or reviewing the student’s Individual Learning Plan</w:t>
      </w:r>
      <w:r w:rsidR="005B2DEE">
        <w:rPr>
          <w:rFonts w:asciiTheme="majorHAnsi" w:hAnsiTheme="majorHAnsi"/>
          <w:sz w:val="24"/>
          <w:szCs w:val="24"/>
        </w:rPr>
        <w:t xml:space="preserve"> and/or Behaviour Support Plan</w:t>
      </w:r>
      <w:r w:rsidRPr="006D285C">
        <w:rPr>
          <w:rFonts w:asciiTheme="majorHAnsi" w:hAnsiTheme="majorHAnsi"/>
          <w:sz w:val="24"/>
          <w:szCs w:val="24"/>
        </w:rPr>
        <w:t>.</w:t>
      </w:r>
    </w:p>
    <w:p w:rsidR="005C14CE" w:rsidRPr="006D285C" w:rsidRDefault="005C14CE" w:rsidP="00196A6D">
      <w:pPr>
        <w:pStyle w:val="NoSpacing"/>
        <w:numPr>
          <w:ilvl w:val="0"/>
          <w:numId w:val="11"/>
        </w:numPr>
        <w:ind w:left="567" w:right="-330"/>
        <w:jc w:val="both"/>
        <w:rPr>
          <w:rFonts w:asciiTheme="majorHAnsi" w:hAnsiTheme="majorHAnsi"/>
          <w:sz w:val="24"/>
          <w:szCs w:val="24"/>
        </w:rPr>
      </w:pPr>
      <w:r w:rsidRPr="006D285C">
        <w:rPr>
          <w:rFonts w:asciiTheme="majorHAnsi" w:hAnsiTheme="majorHAnsi"/>
          <w:sz w:val="24"/>
          <w:szCs w:val="24"/>
        </w:rPr>
        <w:t xml:space="preserve">Please refer also to the school’s </w:t>
      </w:r>
      <w:r w:rsidRPr="006D285C">
        <w:rPr>
          <w:rFonts w:asciiTheme="majorHAnsi" w:hAnsiTheme="majorHAnsi"/>
          <w:i/>
          <w:sz w:val="24"/>
          <w:szCs w:val="24"/>
        </w:rPr>
        <w:t>Student Engagement Policy</w:t>
      </w:r>
      <w:r w:rsidR="009D352D" w:rsidRPr="006D285C">
        <w:rPr>
          <w:rFonts w:asciiTheme="majorHAnsi" w:hAnsiTheme="majorHAnsi"/>
          <w:i/>
          <w:sz w:val="24"/>
          <w:szCs w:val="24"/>
        </w:rPr>
        <w:t>,</w:t>
      </w:r>
      <w:r w:rsidRPr="006D285C">
        <w:rPr>
          <w:rFonts w:asciiTheme="majorHAnsi" w:hAnsiTheme="majorHAnsi"/>
          <w:sz w:val="24"/>
          <w:szCs w:val="24"/>
        </w:rPr>
        <w:t xml:space="preserve"> the </w:t>
      </w:r>
      <w:r w:rsidR="009D352D" w:rsidRPr="006D285C">
        <w:rPr>
          <w:rFonts w:asciiTheme="majorHAnsi" w:hAnsiTheme="majorHAnsi"/>
          <w:i/>
          <w:sz w:val="24"/>
          <w:szCs w:val="24"/>
        </w:rPr>
        <w:t>Student Transfers Policy</w:t>
      </w:r>
      <w:r w:rsidR="009D352D" w:rsidRPr="006D285C">
        <w:rPr>
          <w:rFonts w:asciiTheme="majorHAnsi" w:hAnsiTheme="majorHAnsi"/>
          <w:sz w:val="24"/>
          <w:szCs w:val="24"/>
        </w:rPr>
        <w:t xml:space="preserve"> and the </w:t>
      </w:r>
      <w:r w:rsidRPr="006D285C">
        <w:rPr>
          <w:rFonts w:asciiTheme="majorHAnsi" w:hAnsiTheme="majorHAnsi"/>
          <w:i/>
          <w:sz w:val="24"/>
          <w:szCs w:val="24"/>
        </w:rPr>
        <w:t>Student Wellbeing &amp; Learning Policy</w:t>
      </w:r>
      <w:r w:rsidRPr="006D285C">
        <w:rPr>
          <w:rFonts w:asciiTheme="majorHAnsi" w:hAnsiTheme="majorHAnsi"/>
          <w:sz w:val="24"/>
          <w:szCs w:val="24"/>
        </w:rPr>
        <w:t>.</w:t>
      </w:r>
    </w:p>
    <w:p w:rsidR="00213C03" w:rsidRPr="00170026" w:rsidRDefault="00213C03" w:rsidP="00170026">
      <w:pPr>
        <w:pStyle w:val="NoSpacing"/>
        <w:ind w:right="-330"/>
        <w:jc w:val="both"/>
        <w:rPr>
          <w:rStyle w:val="Emphasis"/>
          <w:rFonts w:cstheme="majorHAnsi"/>
          <w:bCs/>
        </w:rPr>
      </w:pPr>
    </w:p>
    <w:p w:rsidR="00170026" w:rsidRPr="00170026" w:rsidRDefault="00170026" w:rsidP="00170026">
      <w:pPr>
        <w:pStyle w:val="NoSpacing"/>
        <w:ind w:right="-33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170026">
        <w:rPr>
          <w:rFonts w:asciiTheme="majorHAnsi" w:hAnsiTheme="majorHAnsi" w:cstheme="majorHAnsi"/>
          <w:sz w:val="24"/>
          <w:szCs w:val="24"/>
          <w:u w:val="single"/>
        </w:rPr>
        <w:t>Evaluation</w:t>
      </w:r>
    </w:p>
    <w:p w:rsidR="00170026" w:rsidRPr="00170026" w:rsidRDefault="00170026" w:rsidP="00170026">
      <w:pPr>
        <w:pStyle w:val="NoSpacing"/>
        <w:ind w:right="-330"/>
        <w:jc w:val="both"/>
        <w:rPr>
          <w:rStyle w:val="Heading3Char"/>
          <w:rFonts w:asciiTheme="majorHAnsi" w:eastAsia="Calibri" w:hAnsiTheme="majorHAnsi" w:cstheme="majorHAnsi"/>
          <w:b w:val="0"/>
          <w:bCs w:val="0"/>
        </w:rPr>
      </w:pP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 xml:space="preserve">This </w:t>
      </w:r>
      <w:r>
        <w:rPr>
          <w:rStyle w:val="Emphasis"/>
          <w:rFonts w:asciiTheme="majorHAnsi" w:hAnsiTheme="majorHAnsi" w:cstheme="majorHAnsi"/>
          <w:bCs/>
          <w:i w:val="0"/>
          <w:sz w:val="24"/>
        </w:rPr>
        <w:t>policy</w:t>
      </w: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 xml:space="preserve"> will be reviewed as part of the school’s </w:t>
      </w:r>
      <w:r w:rsidRPr="00170026">
        <w:rPr>
          <w:rStyle w:val="Heading3Char"/>
          <w:rFonts w:asciiTheme="majorHAnsi" w:eastAsia="Calibri" w:hAnsiTheme="majorHAnsi" w:cstheme="majorHAnsi"/>
          <w:b w:val="0"/>
        </w:rPr>
        <w:t>three-year review cycle</w:t>
      </w: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>, following an incident if it occurs</w:t>
      </w:r>
      <w:r w:rsidRPr="00170026">
        <w:rPr>
          <w:rStyle w:val="Heading3Char"/>
          <w:rFonts w:asciiTheme="majorHAnsi" w:eastAsia="Calibri" w:hAnsiTheme="majorHAnsi" w:cstheme="majorHAnsi"/>
          <w:b w:val="0"/>
        </w:rPr>
        <w:t xml:space="preserve"> or if guidelines change (latest information late July 2016).</w:t>
      </w:r>
    </w:p>
    <w:p w:rsidR="00170026" w:rsidRPr="00170026" w:rsidRDefault="00170026" w:rsidP="00170026">
      <w:pPr>
        <w:ind w:right="-330"/>
      </w:pPr>
    </w:p>
    <w:p w:rsidR="00170026" w:rsidRPr="00170026" w:rsidRDefault="00170026" w:rsidP="00170026">
      <w:pPr>
        <w:pStyle w:val="NoSpacing"/>
        <w:ind w:right="-33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170026">
        <w:rPr>
          <w:rFonts w:asciiTheme="majorHAnsi" w:hAnsiTheme="majorHAnsi" w:cstheme="majorHAnsi"/>
          <w:sz w:val="24"/>
          <w:szCs w:val="24"/>
          <w:u w:val="single"/>
        </w:rPr>
        <w:t>Ratification</w:t>
      </w:r>
    </w:p>
    <w:p w:rsidR="00170026" w:rsidRPr="00170026" w:rsidRDefault="00170026" w:rsidP="00170026">
      <w:pPr>
        <w:pStyle w:val="NoSpacing"/>
        <w:ind w:right="-330"/>
        <w:jc w:val="both"/>
        <w:rPr>
          <w:rStyle w:val="Emphasis"/>
          <w:rFonts w:asciiTheme="majorHAnsi" w:hAnsiTheme="majorHAnsi" w:cstheme="majorHAnsi"/>
          <w:bCs/>
          <w:i w:val="0"/>
          <w:sz w:val="24"/>
        </w:rPr>
      </w:pP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 xml:space="preserve">This </w:t>
      </w:r>
      <w:r>
        <w:rPr>
          <w:rStyle w:val="Emphasis"/>
          <w:rFonts w:asciiTheme="majorHAnsi" w:hAnsiTheme="majorHAnsi" w:cstheme="majorHAnsi"/>
          <w:bCs/>
          <w:i w:val="0"/>
          <w:sz w:val="24"/>
        </w:rPr>
        <w:t>policy</w:t>
      </w: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 xml:space="preserve"> was ratified by the College Council on 16</w:t>
      </w:r>
      <w:r w:rsidRPr="00170026">
        <w:rPr>
          <w:rStyle w:val="Emphasis"/>
          <w:rFonts w:asciiTheme="majorHAnsi" w:hAnsiTheme="majorHAnsi" w:cstheme="majorHAnsi"/>
          <w:bCs/>
          <w:i w:val="0"/>
          <w:sz w:val="24"/>
          <w:vertAlign w:val="superscript"/>
        </w:rPr>
        <w:t>th</w:t>
      </w: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 xml:space="preserve"> August 2016.</w:t>
      </w:r>
    </w:p>
    <w:p w:rsidR="00170026" w:rsidRPr="00170026" w:rsidRDefault="00170026" w:rsidP="00170026">
      <w:pPr>
        <w:pStyle w:val="NoSpacing"/>
        <w:ind w:right="-330"/>
        <w:jc w:val="both"/>
        <w:rPr>
          <w:rStyle w:val="Emphasis"/>
          <w:rFonts w:asciiTheme="majorHAnsi" w:hAnsiTheme="majorHAnsi" w:cstheme="majorHAnsi"/>
          <w:bCs/>
          <w:i w:val="0"/>
          <w:sz w:val="24"/>
        </w:rPr>
      </w:pP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 xml:space="preserve">This </w:t>
      </w:r>
      <w:r>
        <w:rPr>
          <w:rStyle w:val="Emphasis"/>
          <w:rFonts w:asciiTheme="majorHAnsi" w:hAnsiTheme="majorHAnsi" w:cstheme="majorHAnsi"/>
          <w:bCs/>
          <w:i w:val="0"/>
          <w:sz w:val="24"/>
        </w:rPr>
        <w:t>policy</w:t>
      </w: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 xml:space="preserve"> was reviewed and re-ratified on 12</w:t>
      </w:r>
      <w:r w:rsidRPr="00170026">
        <w:rPr>
          <w:rStyle w:val="Emphasis"/>
          <w:rFonts w:asciiTheme="majorHAnsi" w:hAnsiTheme="majorHAnsi" w:cstheme="majorHAnsi"/>
          <w:bCs/>
          <w:i w:val="0"/>
          <w:sz w:val="24"/>
          <w:vertAlign w:val="superscript"/>
        </w:rPr>
        <w:t>th</w:t>
      </w: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 xml:space="preserve"> </w:t>
      </w:r>
      <w:proofErr w:type="gramStart"/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>December,</w:t>
      </w:r>
      <w:proofErr w:type="gramEnd"/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 xml:space="preserve"> 2017.</w:t>
      </w:r>
    </w:p>
    <w:p w:rsidR="00170026" w:rsidRPr="00170026" w:rsidRDefault="00170026" w:rsidP="00170026">
      <w:pPr>
        <w:ind w:right="-330"/>
        <w:rPr>
          <w:rFonts w:asciiTheme="majorHAnsi" w:hAnsiTheme="majorHAnsi" w:cstheme="majorHAnsi"/>
          <w:sz w:val="21"/>
          <w:szCs w:val="21"/>
        </w:rPr>
      </w:pPr>
    </w:p>
    <w:p w:rsidR="00170026" w:rsidRPr="00170026" w:rsidRDefault="00170026" w:rsidP="00170026">
      <w:pPr>
        <w:pStyle w:val="NoSpacing"/>
        <w:ind w:right="-33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170026">
        <w:rPr>
          <w:rFonts w:asciiTheme="majorHAnsi" w:hAnsiTheme="majorHAnsi" w:cstheme="majorHAnsi"/>
          <w:sz w:val="24"/>
          <w:szCs w:val="24"/>
          <w:u w:val="single"/>
        </w:rPr>
        <w:t>References:</w:t>
      </w:r>
    </w:p>
    <w:p w:rsidR="00170026" w:rsidRPr="00170026" w:rsidRDefault="00170026" w:rsidP="00170026">
      <w:pPr>
        <w:pStyle w:val="NoSpacing"/>
        <w:ind w:right="-330"/>
        <w:jc w:val="both"/>
        <w:rPr>
          <w:rStyle w:val="Emphasis"/>
          <w:rFonts w:asciiTheme="majorHAnsi" w:hAnsiTheme="majorHAnsi" w:cstheme="majorHAnsi"/>
          <w:bCs/>
          <w:i w:val="0"/>
          <w:sz w:val="24"/>
        </w:rPr>
      </w:pP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>VRQA Child Safe Standards Toolkit</w:t>
      </w:r>
    </w:p>
    <w:p w:rsidR="00170026" w:rsidRPr="00170026" w:rsidRDefault="00170026" w:rsidP="00170026">
      <w:pPr>
        <w:pStyle w:val="NoSpacing"/>
        <w:ind w:right="-330"/>
        <w:jc w:val="both"/>
        <w:rPr>
          <w:rStyle w:val="Emphasis"/>
          <w:rFonts w:asciiTheme="majorHAnsi" w:hAnsiTheme="majorHAnsi" w:cstheme="majorHAnsi"/>
          <w:bCs/>
          <w:i w:val="0"/>
          <w:sz w:val="24"/>
        </w:rPr>
      </w:pP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>Creating a Child Safe Organisation Guide p.22</w:t>
      </w:r>
    </w:p>
    <w:p w:rsidR="00170026" w:rsidRPr="00170026" w:rsidRDefault="00170026" w:rsidP="00170026">
      <w:pPr>
        <w:pStyle w:val="NoSpacing"/>
        <w:ind w:right="-330"/>
        <w:jc w:val="both"/>
        <w:rPr>
          <w:rStyle w:val="Emphasis"/>
          <w:rFonts w:asciiTheme="majorHAnsi" w:hAnsiTheme="majorHAnsi" w:cstheme="majorHAnsi"/>
          <w:bCs/>
          <w:i w:val="0"/>
          <w:sz w:val="24"/>
        </w:rPr>
      </w:pP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>An Overview of the Victorian Child Safe Standards State of Victoria, DHHS November 2015</w:t>
      </w:r>
    </w:p>
    <w:p w:rsidR="00170026" w:rsidRPr="00170026" w:rsidRDefault="00170026" w:rsidP="00170026">
      <w:pPr>
        <w:pStyle w:val="NoSpacing"/>
        <w:ind w:right="-330"/>
        <w:jc w:val="both"/>
        <w:rPr>
          <w:rStyle w:val="Emphasis"/>
          <w:rFonts w:asciiTheme="majorHAnsi" w:hAnsiTheme="majorHAnsi" w:cstheme="majorHAnsi"/>
          <w:bCs/>
          <w:i w:val="0"/>
          <w:sz w:val="24"/>
        </w:rPr>
      </w:pPr>
      <w:r w:rsidRPr="00170026">
        <w:rPr>
          <w:rStyle w:val="Emphasis"/>
          <w:rFonts w:asciiTheme="majorHAnsi" w:hAnsiTheme="majorHAnsi" w:cstheme="majorHAnsi"/>
          <w:bCs/>
          <w:i w:val="0"/>
          <w:sz w:val="24"/>
        </w:rPr>
        <w:t>Protect – Identifying All Forms of Child Abuse in Victorian Schools 2016</w:t>
      </w:r>
    </w:p>
    <w:p w:rsidR="008B5F40" w:rsidRPr="00170026" w:rsidRDefault="008B5F40" w:rsidP="00170026">
      <w:pPr>
        <w:ind w:left="567" w:right="-330" w:firstLine="284"/>
        <w:jc w:val="center"/>
        <w:rPr>
          <w:rFonts w:asciiTheme="majorHAnsi" w:hAnsiTheme="majorHAnsi" w:cstheme="majorHAnsi"/>
        </w:rPr>
      </w:pPr>
    </w:p>
    <w:sectPr w:rsidR="008B5F40" w:rsidRPr="001700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5DF" w:rsidRDefault="004245DF" w:rsidP="006D285C">
      <w:pPr>
        <w:spacing w:after="0" w:line="240" w:lineRule="auto"/>
      </w:pPr>
      <w:r>
        <w:separator/>
      </w:r>
    </w:p>
  </w:endnote>
  <w:endnote w:type="continuationSeparator" w:id="0">
    <w:p w:rsidR="004245DF" w:rsidRDefault="004245DF" w:rsidP="006D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486" w:rsidRDefault="005B7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1849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5E3A" w:rsidRDefault="00D55E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9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5E3A" w:rsidRDefault="00D55E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486" w:rsidRDefault="005B7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5DF" w:rsidRDefault="004245DF" w:rsidP="006D285C">
      <w:pPr>
        <w:spacing w:after="0" w:line="240" w:lineRule="auto"/>
      </w:pPr>
      <w:r>
        <w:separator/>
      </w:r>
    </w:p>
  </w:footnote>
  <w:footnote w:type="continuationSeparator" w:id="0">
    <w:p w:rsidR="004245DF" w:rsidRDefault="004245DF" w:rsidP="006D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486" w:rsidRDefault="005B7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926" w:type="dxa"/>
      <w:tblInd w:w="0" w:type="dxa"/>
      <w:tblLook w:val="04A0" w:firstRow="1" w:lastRow="0" w:firstColumn="1" w:lastColumn="0" w:noHBand="0" w:noVBand="1"/>
    </w:tblPr>
    <w:tblGrid>
      <w:gridCol w:w="6555"/>
      <w:gridCol w:w="2371"/>
    </w:tblGrid>
    <w:tr w:rsidR="00D55E3A" w:rsidTr="00D55E3A">
      <w:trPr>
        <w:trHeight w:val="1691"/>
      </w:trPr>
      <w:tc>
        <w:tcPr>
          <w:tcW w:w="6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5E3A" w:rsidRDefault="00D55E3A" w:rsidP="005B7486">
          <w:pPr>
            <w:pStyle w:val="Title"/>
            <w:spacing w:before="120" w:after="120"/>
            <w:rPr>
              <w:szCs w:val="36"/>
              <w:lang w:eastAsia="en-AU"/>
            </w:rPr>
          </w:pPr>
        </w:p>
        <w:p w:rsidR="00D55E3A" w:rsidRDefault="005B7486" w:rsidP="005B7486">
          <w:pPr>
            <w:pStyle w:val="Title"/>
            <w:spacing w:before="120" w:after="120"/>
            <w:rPr>
              <w:b w:val="0"/>
              <w:lang w:eastAsia="en-AU"/>
            </w:rPr>
          </w:pPr>
          <w:r>
            <w:rPr>
              <w:b w:val="0"/>
              <w:lang w:eastAsia="en-AU"/>
            </w:rPr>
            <w:t>CHILD SAFE STANDARD 6, 2017</w:t>
          </w:r>
        </w:p>
        <w:p w:rsidR="005B7486" w:rsidRPr="00D55E3A" w:rsidRDefault="005B7486" w:rsidP="005B7486">
          <w:pPr>
            <w:pStyle w:val="Title"/>
            <w:spacing w:before="120" w:after="120"/>
            <w:rPr>
              <w:b w:val="0"/>
              <w:lang w:eastAsia="en-AU"/>
            </w:rPr>
          </w:pPr>
        </w:p>
        <w:p w:rsidR="00D55E3A" w:rsidRPr="005B7486" w:rsidRDefault="00D55E3A" w:rsidP="005B7486">
          <w:pPr>
            <w:pStyle w:val="Title"/>
            <w:spacing w:before="120" w:after="120"/>
            <w:rPr>
              <w:b w:val="0"/>
              <w:sz w:val="36"/>
              <w:lang w:eastAsia="en-AU"/>
            </w:rPr>
          </w:pPr>
          <w:r w:rsidRPr="00D55E3A">
            <w:rPr>
              <w:b w:val="0"/>
              <w:sz w:val="36"/>
              <w:lang w:eastAsia="en-AU"/>
            </w:rPr>
            <w:t>CHILDREN AT (eDUCATIONAL) RISK POLICY</w:t>
          </w:r>
        </w:p>
      </w:tc>
      <w:tc>
        <w:tcPr>
          <w:tcW w:w="2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55E3A" w:rsidRDefault="00D55E3A" w:rsidP="00D55E3A">
          <w:pPr>
            <w:pStyle w:val="Title"/>
            <w:jc w:val="right"/>
            <w:rPr>
              <w:lang w:eastAsia="en-AU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165735</wp:posOffset>
                </wp:positionV>
                <wp:extent cx="908050" cy="952500"/>
                <wp:effectExtent l="0" t="0" r="635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0" w:name="_GoBack"/>
      <w:bookmarkEnd w:id="0"/>
    </w:tr>
  </w:tbl>
  <w:p w:rsidR="006D285C" w:rsidRPr="006D285C" w:rsidRDefault="006D285C" w:rsidP="006D285C">
    <w:pPr>
      <w:pStyle w:val="Header"/>
      <w:jc w:val="center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486" w:rsidRDefault="005B7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8E5"/>
    <w:multiLevelType w:val="hybridMultilevel"/>
    <w:tmpl w:val="751E9EFE"/>
    <w:lvl w:ilvl="0" w:tplc="6C685EEC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0F2B23FB"/>
    <w:multiLevelType w:val="hybridMultilevel"/>
    <w:tmpl w:val="967CB038"/>
    <w:lvl w:ilvl="0" w:tplc="6C685EEC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09C5EBF"/>
    <w:multiLevelType w:val="hybridMultilevel"/>
    <w:tmpl w:val="21DA00D0"/>
    <w:lvl w:ilvl="0" w:tplc="6C685EE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8846475"/>
    <w:multiLevelType w:val="hybridMultilevel"/>
    <w:tmpl w:val="57DC0BB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E40926"/>
    <w:multiLevelType w:val="hybridMultilevel"/>
    <w:tmpl w:val="6FBCE672"/>
    <w:lvl w:ilvl="0" w:tplc="59E039C4">
      <w:numFmt w:val="bullet"/>
      <w:lvlText w:val="-"/>
      <w:lvlJc w:val="left"/>
      <w:pPr>
        <w:ind w:left="2073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" w15:restartNumberingAfterBreak="0">
    <w:nsid w:val="5EF35892"/>
    <w:multiLevelType w:val="hybridMultilevel"/>
    <w:tmpl w:val="4808BF5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F2D18CD"/>
    <w:multiLevelType w:val="hybridMultilevel"/>
    <w:tmpl w:val="EF121338"/>
    <w:lvl w:ilvl="0" w:tplc="6C685EE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67F8620F"/>
    <w:multiLevelType w:val="hybridMultilevel"/>
    <w:tmpl w:val="C6D45B40"/>
    <w:lvl w:ilvl="0" w:tplc="6C685EE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762D74ED"/>
    <w:multiLevelType w:val="hybridMultilevel"/>
    <w:tmpl w:val="F86610A0"/>
    <w:lvl w:ilvl="0" w:tplc="6C685EEC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9" w15:restartNumberingAfterBreak="0">
    <w:nsid w:val="79F73B5B"/>
    <w:multiLevelType w:val="hybridMultilevel"/>
    <w:tmpl w:val="9A76383E"/>
    <w:lvl w:ilvl="0" w:tplc="6C685EE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EEC74ED"/>
    <w:multiLevelType w:val="hybridMultilevel"/>
    <w:tmpl w:val="F4364F52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FB91EA4"/>
    <w:multiLevelType w:val="hybridMultilevel"/>
    <w:tmpl w:val="62DE3A2C"/>
    <w:lvl w:ilvl="0" w:tplc="6C685EEC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072A0"/>
    <w:rsid w:val="000276EB"/>
    <w:rsid w:val="000302A3"/>
    <w:rsid w:val="000348A7"/>
    <w:rsid w:val="000448B5"/>
    <w:rsid w:val="00075F93"/>
    <w:rsid w:val="0008158F"/>
    <w:rsid w:val="00091DD9"/>
    <w:rsid w:val="000E0DCC"/>
    <w:rsid w:val="000F7D74"/>
    <w:rsid w:val="00110F3D"/>
    <w:rsid w:val="00135515"/>
    <w:rsid w:val="00170026"/>
    <w:rsid w:val="00196A6D"/>
    <w:rsid w:val="001A2032"/>
    <w:rsid w:val="001B1014"/>
    <w:rsid w:val="001B623D"/>
    <w:rsid w:val="001D1907"/>
    <w:rsid w:val="001D4FF1"/>
    <w:rsid w:val="001D6C99"/>
    <w:rsid w:val="00213C03"/>
    <w:rsid w:val="00286878"/>
    <w:rsid w:val="002B4804"/>
    <w:rsid w:val="002C7F9C"/>
    <w:rsid w:val="002E46DB"/>
    <w:rsid w:val="002F548F"/>
    <w:rsid w:val="00315F2A"/>
    <w:rsid w:val="0031670F"/>
    <w:rsid w:val="00360178"/>
    <w:rsid w:val="00365E49"/>
    <w:rsid w:val="00384410"/>
    <w:rsid w:val="003A073E"/>
    <w:rsid w:val="003C0605"/>
    <w:rsid w:val="003D6325"/>
    <w:rsid w:val="003F1C94"/>
    <w:rsid w:val="004245DF"/>
    <w:rsid w:val="00462960"/>
    <w:rsid w:val="0047688B"/>
    <w:rsid w:val="0047793B"/>
    <w:rsid w:val="004936BB"/>
    <w:rsid w:val="00493DA1"/>
    <w:rsid w:val="00495042"/>
    <w:rsid w:val="004A53AD"/>
    <w:rsid w:val="00511A81"/>
    <w:rsid w:val="005429D1"/>
    <w:rsid w:val="00576876"/>
    <w:rsid w:val="005B2DEE"/>
    <w:rsid w:val="005B7486"/>
    <w:rsid w:val="005C14CE"/>
    <w:rsid w:val="005E3B6A"/>
    <w:rsid w:val="005E40A9"/>
    <w:rsid w:val="006342C1"/>
    <w:rsid w:val="0064195E"/>
    <w:rsid w:val="006A5F2D"/>
    <w:rsid w:val="006B1BE6"/>
    <w:rsid w:val="006D285C"/>
    <w:rsid w:val="006D62C6"/>
    <w:rsid w:val="00701CB8"/>
    <w:rsid w:val="00722273"/>
    <w:rsid w:val="007468D1"/>
    <w:rsid w:val="007A3168"/>
    <w:rsid w:val="007A478E"/>
    <w:rsid w:val="007A7785"/>
    <w:rsid w:val="007C35C5"/>
    <w:rsid w:val="008001EE"/>
    <w:rsid w:val="00821A97"/>
    <w:rsid w:val="0085269E"/>
    <w:rsid w:val="008667A3"/>
    <w:rsid w:val="008B5F40"/>
    <w:rsid w:val="008D0106"/>
    <w:rsid w:val="008F1467"/>
    <w:rsid w:val="008F6296"/>
    <w:rsid w:val="00912DA4"/>
    <w:rsid w:val="00931966"/>
    <w:rsid w:val="00943D56"/>
    <w:rsid w:val="00944D14"/>
    <w:rsid w:val="00950AE4"/>
    <w:rsid w:val="00952C6B"/>
    <w:rsid w:val="00956E38"/>
    <w:rsid w:val="00992440"/>
    <w:rsid w:val="009D352D"/>
    <w:rsid w:val="009F1888"/>
    <w:rsid w:val="00A232D1"/>
    <w:rsid w:val="00A27C45"/>
    <w:rsid w:val="00A97010"/>
    <w:rsid w:val="00AA29D3"/>
    <w:rsid w:val="00AB2816"/>
    <w:rsid w:val="00B20893"/>
    <w:rsid w:val="00B32355"/>
    <w:rsid w:val="00B85E6B"/>
    <w:rsid w:val="00BC36A3"/>
    <w:rsid w:val="00BD5081"/>
    <w:rsid w:val="00BE2EA6"/>
    <w:rsid w:val="00BE67C8"/>
    <w:rsid w:val="00BF7CE1"/>
    <w:rsid w:val="00C47AF9"/>
    <w:rsid w:val="00CE639D"/>
    <w:rsid w:val="00CF31B9"/>
    <w:rsid w:val="00D02305"/>
    <w:rsid w:val="00D42A2E"/>
    <w:rsid w:val="00D47B81"/>
    <w:rsid w:val="00D55E3A"/>
    <w:rsid w:val="00D90283"/>
    <w:rsid w:val="00DB36B6"/>
    <w:rsid w:val="00DC79AA"/>
    <w:rsid w:val="00DD0BCB"/>
    <w:rsid w:val="00DF5686"/>
    <w:rsid w:val="00E71FB6"/>
    <w:rsid w:val="00E92890"/>
    <w:rsid w:val="00EC6559"/>
    <w:rsid w:val="00F168BB"/>
    <w:rsid w:val="00F405D3"/>
    <w:rsid w:val="00F62E17"/>
    <w:rsid w:val="00FC01FB"/>
    <w:rsid w:val="00F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55AA8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9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paragraph" w:styleId="BodyTextIndent">
    <w:name w:val="Body Text Indent"/>
    <w:basedOn w:val="Normal"/>
    <w:link w:val="BodyTextIndentChar"/>
    <w:rsid w:val="000072A0"/>
    <w:pPr>
      <w:spacing w:after="0" w:line="240" w:lineRule="auto"/>
      <w:ind w:left="175" w:hanging="175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072A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F1C9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2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85C"/>
  </w:style>
  <w:style w:type="paragraph" w:styleId="Title">
    <w:name w:val="Title"/>
    <w:basedOn w:val="Normal"/>
    <w:link w:val="TitleChar"/>
    <w:qFormat/>
    <w:rsid w:val="00D55E3A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5E3A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D55E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EE960-545F-4CD0-8C5C-107FE6411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54AED-6BF1-4197-943E-612BA30FA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41A25-24E4-4554-BE2B-2F00A31685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8</cp:revision>
  <dcterms:created xsi:type="dcterms:W3CDTF">2017-12-03T05:08:00Z</dcterms:created>
  <dcterms:modified xsi:type="dcterms:W3CDTF">2017-12-03T06:43:00Z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