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8A0" w:rsidRPr="0088105F" w:rsidRDefault="007E58A0" w:rsidP="00886458">
      <w:pPr>
        <w:ind w:left="567" w:right="-46" w:hanging="567"/>
        <w:jc w:val="both"/>
        <w:rPr>
          <w:rStyle w:val="SubtleReference"/>
          <w:sz w:val="28"/>
        </w:rPr>
      </w:pPr>
      <w:r w:rsidRPr="0088105F">
        <w:rPr>
          <w:rStyle w:val="SubtleReference"/>
          <w:sz w:val="28"/>
        </w:rPr>
        <w:t>Rationale</w:t>
      </w:r>
    </w:p>
    <w:p w:rsidR="00F53651" w:rsidRPr="0088105F" w:rsidRDefault="00F53651" w:rsidP="00886458">
      <w:pPr>
        <w:pStyle w:val="ListParagraph"/>
        <w:numPr>
          <w:ilvl w:val="0"/>
          <w:numId w:val="24"/>
        </w:numPr>
        <w:tabs>
          <w:tab w:val="left" w:pos="1418"/>
        </w:tabs>
        <w:ind w:left="567" w:right="-46" w:hanging="567"/>
        <w:jc w:val="both"/>
        <w:rPr>
          <w:rFonts w:ascii="Calibri Light" w:hAnsi="Calibri Light"/>
        </w:rPr>
      </w:pPr>
      <w:r w:rsidRPr="0088105F">
        <w:rPr>
          <w:rFonts w:ascii="Calibri Light" w:hAnsi="Calibri Light"/>
          <w:lang w:val="en"/>
        </w:rPr>
        <w:t>Schools undertake a range of student assessment and reporting activities to inform and support student learning.</w:t>
      </w:r>
    </w:p>
    <w:p w:rsidR="00F53651" w:rsidRPr="0088105F" w:rsidRDefault="00F53651" w:rsidP="00886458">
      <w:pPr>
        <w:pStyle w:val="ListParagraph"/>
        <w:numPr>
          <w:ilvl w:val="0"/>
          <w:numId w:val="24"/>
        </w:numPr>
        <w:tabs>
          <w:tab w:val="left" w:pos="1418"/>
        </w:tabs>
        <w:ind w:left="567" w:right="-46" w:hanging="567"/>
        <w:jc w:val="both"/>
        <w:rPr>
          <w:rFonts w:ascii="Calibri Light" w:hAnsi="Calibri Light"/>
        </w:rPr>
      </w:pPr>
      <w:r w:rsidRPr="0088105F">
        <w:rPr>
          <w:rFonts w:ascii="Calibri Light" w:hAnsi="Calibri Light"/>
          <w:lang w:val="en-US"/>
        </w:rPr>
        <w:t>Assessment (and reporting) are vital processes which provide information about what students know and can do, and to make recommendations for their future learning.</w:t>
      </w:r>
    </w:p>
    <w:p w:rsidR="00F53651" w:rsidRPr="0088105F" w:rsidRDefault="00F53651" w:rsidP="00886458">
      <w:pPr>
        <w:pStyle w:val="ListParagraph"/>
        <w:numPr>
          <w:ilvl w:val="0"/>
          <w:numId w:val="24"/>
        </w:numPr>
        <w:tabs>
          <w:tab w:val="left" w:pos="1418"/>
        </w:tabs>
        <w:ind w:left="567" w:right="-46" w:hanging="567"/>
        <w:jc w:val="both"/>
        <w:rPr>
          <w:rFonts w:ascii="Calibri Light" w:hAnsi="Calibri Light"/>
          <w:lang w:val="en" w:eastAsia="en-AU"/>
        </w:rPr>
      </w:pPr>
      <w:r w:rsidRPr="0088105F">
        <w:rPr>
          <w:rFonts w:ascii="Calibri Light" w:hAnsi="Calibri Light"/>
          <w:lang w:val="en" w:eastAsia="en-AU"/>
        </w:rPr>
        <w:t xml:space="preserve">The </w:t>
      </w:r>
      <w:hyperlink r:id="rId10" w:history="1">
        <w:r w:rsidRPr="0088105F">
          <w:rPr>
            <w:rFonts w:ascii="Calibri Light" w:hAnsi="Calibri Light"/>
            <w:u w:val="single"/>
            <w:lang w:val="en" w:eastAsia="en-AU"/>
          </w:rPr>
          <w:t xml:space="preserve">Insight Assessment Platform (Insight), </w:t>
        </w:r>
      </w:hyperlink>
      <w:r w:rsidRPr="0088105F">
        <w:rPr>
          <w:rFonts w:ascii="Calibri Light" w:hAnsi="Calibri Light"/>
          <w:lang w:val="en" w:eastAsia="en-AU"/>
        </w:rPr>
        <w:t>an Education State initiative, is aimed at helping teachers assess the progress of all learners and support more targeted teaching practices.</w:t>
      </w:r>
    </w:p>
    <w:p w:rsidR="00F53651" w:rsidRPr="0088105F" w:rsidRDefault="00F53651" w:rsidP="00886458">
      <w:pPr>
        <w:pStyle w:val="ListParagraph"/>
        <w:numPr>
          <w:ilvl w:val="0"/>
          <w:numId w:val="24"/>
        </w:numPr>
        <w:tabs>
          <w:tab w:val="left" w:pos="1418"/>
        </w:tabs>
        <w:ind w:left="567" w:right="-46" w:hanging="567"/>
        <w:jc w:val="both"/>
        <w:rPr>
          <w:rFonts w:ascii="Calibri Light" w:hAnsi="Calibri Light"/>
          <w:lang w:val="en" w:eastAsia="en-AU"/>
        </w:rPr>
      </w:pPr>
      <w:r w:rsidRPr="0088105F">
        <w:rPr>
          <w:rFonts w:ascii="Calibri Light" w:hAnsi="Calibri Light"/>
          <w:lang w:val="en" w:eastAsia="en-AU"/>
        </w:rPr>
        <w:t xml:space="preserve">Insight aims to enable high quality assessment and feedback that will inform teacher planning for the next steps in a student’s learning as that they continue to make progress along the learning continuum. </w:t>
      </w:r>
    </w:p>
    <w:p w:rsidR="007E58A0" w:rsidRPr="0088105F" w:rsidRDefault="0089574A" w:rsidP="00886458">
      <w:pPr>
        <w:pStyle w:val="ListParagraph"/>
        <w:numPr>
          <w:ilvl w:val="0"/>
          <w:numId w:val="24"/>
        </w:numPr>
        <w:ind w:left="567" w:right="-46" w:hanging="567"/>
        <w:jc w:val="both"/>
        <w:rPr>
          <w:rFonts w:ascii="Calibri Light" w:hAnsi="Calibri Light"/>
          <w:lang w:val="en-US" w:eastAsia="en-AU"/>
        </w:rPr>
      </w:pPr>
      <w:r w:rsidRPr="0088105F">
        <w:rPr>
          <w:rFonts w:ascii="Calibri Light" w:hAnsi="Calibri Light"/>
          <w:lang w:val="en-US" w:eastAsia="en-AU"/>
        </w:rPr>
        <w:t>S</w:t>
      </w:r>
      <w:r w:rsidR="007E58A0" w:rsidRPr="0088105F">
        <w:rPr>
          <w:rFonts w:ascii="Calibri Light" w:hAnsi="Calibri Light"/>
          <w:lang w:val="en-US" w:eastAsia="en-AU"/>
        </w:rPr>
        <w:t>chools enrolling international students are required to effectively monitor student performance (including any academic progress issues, accommodation and welfare issues or absences from school and home stay accommodation) and implement a documented intervention strategy where academic progress is at risk of failing to meet minimum Student Visa requirements (satisfactory completion of 50% or more of the units attempted in a study period).</w:t>
      </w:r>
    </w:p>
    <w:p w:rsidR="007E58A0" w:rsidRPr="0088105F" w:rsidRDefault="007E58A0" w:rsidP="00886458">
      <w:pPr>
        <w:ind w:left="567" w:right="-46" w:hanging="567"/>
        <w:jc w:val="both"/>
        <w:rPr>
          <w:rFonts w:ascii="Calibri Light" w:hAnsi="Calibri Light"/>
          <w:sz w:val="24"/>
          <w:szCs w:val="24"/>
        </w:rPr>
      </w:pPr>
    </w:p>
    <w:p w:rsidR="00886458" w:rsidRDefault="00666D2E" w:rsidP="00886458">
      <w:pPr>
        <w:ind w:left="567" w:right="-46" w:hanging="567"/>
        <w:jc w:val="both"/>
        <w:rPr>
          <w:rStyle w:val="SubtleReference"/>
          <w:sz w:val="28"/>
        </w:rPr>
      </w:pPr>
      <w:r w:rsidRPr="0088105F">
        <w:rPr>
          <w:rStyle w:val="SubtleReference"/>
          <w:sz w:val="28"/>
        </w:rPr>
        <w:t>Purpose</w:t>
      </w:r>
    </w:p>
    <w:p w:rsidR="0089574A" w:rsidRPr="00886458" w:rsidRDefault="0089574A" w:rsidP="00886458">
      <w:pPr>
        <w:ind w:right="-46"/>
        <w:jc w:val="both"/>
        <w:rPr>
          <w:rFonts w:ascii="Calibri Light" w:hAnsi="Calibri Light"/>
          <w:smallCaps/>
          <w:sz w:val="28"/>
          <w:u w:val="single"/>
        </w:rPr>
      </w:pPr>
      <w:r w:rsidRPr="0088105F">
        <w:rPr>
          <w:rFonts w:ascii="Calibri Light" w:hAnsi="Calibri Light" w:cs="Segoe UI"/>
          <w:sz w:val="24"/>
          <w:szCs w:val="24"/>
        </w:rPr>
        <w:t xml:space="preserve">To ensure </w:t>
      </w:r>
      <w:r w:rsidR="00455BB2" w:rsidRPr="0088105F">
        <w:rPr>
          <w:rFonts w:ascii="Calibri Light" w:hAnsi="Calibri Light" w:cs="Segoe UI"/>
          <w:sz w:val="24"/>
          <w:szCs w:val="24"/>
        </w:rPr>
        <w:t>Charles La Trobe College</w:t>
      </w:r>
      <w:r w:rsidRPr="0088105F">
        <w:rPr>
          <w:rFonts w:ascii="Calibri Light" w:hAnsi="Calibri Light" w:cs="Segoe UI"/>
          <w:sz w:val="24"/>
          <w:szCs w:val="24"/>
        </w:rPr>
        <w:t xml:space="preserve"> is aware of the policies and procedures for the preparation of reports on student progress and achievement for parents/carers or the community.</w:t>
      </w:r>
    </w:p>
    <w:p w:rsidR="007E58A0" w:rsidRPr="0088105F" w:rsidRDefault="007E58A0" w:rsidP="00886458">
      <w:pPr>
        <w:ind w:left="567" w:right="-46" w:hanging="567"/>
        <w:jc w:val="both"/>
        <w:rPr>
          <w:rFonts w:ascii="Calibri Light" w:hAnsi="Calibri Light"/>
          <w:sz w:val="24"/>
          <w:szCs w:val="24"/>
        </w:rPr>
      </w:pPr>
    </w:p>
    <w:p w:rsidR="007E58A0" w:rsidRPr="0088105F" w:rsidRDefault="007E58A0" w:rsidP="00886458">
      <w:pPr>
        <w:ind w:left="567" w:right="-46" w:hanging="567"/>
        <w:jc w:val="both"/>
        <w:rPr>
          <w:rStyle w:val="SubtleReference"/>
          <w:sz w:val="28"/>
        </w:rPr>
      </w:pPr>
      <w:r w:rsidRPr="0088105F">
        <w:rPr>
          <w:rStyle w:val="SubtleReference"/>
          <w:sz w:val="28"/>
        </w:rPr>
        <w:t>Definitions</w:t>
      </w:r>
    </w:p>
    <w:p w:rsidR="007E58A0" w:rsidRPr="00886458" w:rsidRDefault="007E58A0" w:rsidP="00886458">
      <w:pPr>
        <w:pStyle w:val="ListParagraph"/>
        <w:numPr>
          <w:ilvl w:val="0"/>
          <w:numId w:val="24"/>
        </w:numPr>
        <w:tabs>
          <w:tab w:val="left" w:pos="1418"/>
        </w:tabs>
        <w:ind w:left="567" w:right="-46" w:hanging="567"/>
        <w:jc w:val="both"/>
        <w:rPr>
          <w:rFonts w:ascii="Calibri Light" w:hAnsi="Calibri Light"/>
          <w:lang w:val="en" w:eastAsia="en-AU"/>
        </w:rPr>
      </w:pPr>
      <w:r w:rsidRPr="00886458">
        <w:rPr>
          <w:rFonts w:ascii="Calibri Light" w:hAnsi="Calibri Light"/>
          <w:lang w:val="en" w:eastAsia="en-AU"/>
        </w:rPr>
        <w:t>Assessment is the ongoing process of gathering, analysing and reflecting on evidence to make informed and consistent judgements about student progress to improve future learning.</w:t>
      </w:r>
    </w:p>
    <w:p w:rsidR="0089574A" w:rsidRPr="00886458" w:rsidRDefault="0089574A" w:rsidP="00886458">
      <w:pPr>
        <w:pStyle w:val="ListParagraph"/>
        <w:numPr>
          <w:ilvl w:val="0"/>
          <w:numId w:val="24"/>
        </w:numPr>
        <w:tabs>
          <w:tab w:val="left" w:pos="1418"/>
        </w:tabs>
        <w:ind w:left="567" w:right="-46" w:hanging="567"/>
        <w:jc w:val="both"/>
        <w:rPr>
          <w:rFonts w:ascii="Calibri Light" w:hAnsi="Calibri Light"/>
          <w:lang w:val="en" w:eastAsia="en-AU"/>
        </w:rPr>
      </w:pPr>
      <w:r w:rsidRPr="00886458">
        <w:rPr>
          <w:rFonts w:ascii="Calibri Light" w:hAnsi="Calibri Light"/>
          <w:lang w:val="en" w:eastAsia="en-AU"/>
        </w:rPr>
        <w:t>Reporting communicates comprehensive information about student learning and achievement in different forms to a range of audiences for a variety of purposes. Comprehensive reporting covers three major areas:</w:t>
      </w:r>
    </w:p>
    <w:p w:rsidR="0089574A" w:rsidRPr="0088105F" w:rsidRDefault="0089574A" w:rsidP="00886458">
      <w:pPr>
        <w:pStyle w:val="NoSpacing"/>
        <w:numPr>
          <w:ilvl w:val="0"/>
          <w:numId w:val="26"/>
        </w:numPr>
        <w:tabs>
          <w:tab w:val="left" w:pos="1701"/>
        </w:tabs>
        <w:spacing w:afterAutospacing="0"/>
        <w:ind w:left="1134" w:right="-46" w:hanging="567"/>
        <w:jc w:val="both"/>
        <w:rPr>
          <w:rFonts w:ascii="Calibri Light" w:hAnsi="Calibri Light"/>
          <w:sz w:val="24"/>
          <w:szCs w:val="24"/>
          <w:lang w:eastAsia="en-AU"/>
        </w:rPr>
      </w:pPr>
      <w:r w:rsidRPr="0088105F">
        <w:rPr>
          <w:rFonts w:ascii="Calibri Light" w:hAnsi="Calibri Light"/>
          <w:sz w:val="24"/>
          <w:szCs w:val="24"/>
          <w:u w:val="single"/>
          <w:lang w:eastAsia="en-AU"/>
        </w:rPr>
        <w:t>Student reporting</w:t>
      </w:r>
      <w:r w:rsidRPr="0088105F">
        <w:rPr>
          <w:rFonts w:ascii="Calibri Light" w:hAnsi="Calibri Light"/>
          <w:sz w:val="24"/>
          <w:szCs w:val="24"/>
          <w:lang w:eastAsia="en-AU"/>
        </w:rPr>
        <w:t>: schools report to parents/carers using student reports, strengthening family partnerships by engaging teachers and families in regular and meaningful communication about students’ learning needs</w:t>
      </w:r>
    </w:p>
    <w:p w:rsidR="0089574A" w:rsidRPr="0088105F" w:rsidRDefault="0089574A" w:rsidP="00886458">
      <w:pPr>
        <w:pStyle w:val="NoSpacing"/>
        <w:numPr>
          <w:ilvl w:val="0"/>
          <w:numId w:val="26"/>
        </w:numPr>
        <w:tabs>
          <w:tab w:val="left" w:pos="1701"/>
        </w:tabs>
        <w:spacing w:afterAutospacing="0"/>
        <w:ind w:left="1134" w:right="-46" w:hanging="567"/>
        <w:jc w:val="both"/>
        <w:rPr>
          <w:rFonts w:ascii="Calibri Light" w:hAnsi="Calibri Light"/>
          <w:sz w:val="24"/>
          <w:szCs w:val="24"/>
          <w:lang w:eastAsia="en-AU"/>
        </w:rPr>
      </w:pPr>
      <w:r w:rsidRPr="0088105F">
        <w:rPr>
          <w:rFonts w:ascii="Calibri Light" w:hAnsi="Calibri Light"/>
          <w:sz w:val="24"/>
          <w:szCs w:val="24"/>
          <w:u w:val="single"/>
          <w:lang w:eastAsia="en-AU"/>
        </w:rPr>
        <w:t>School reporting</w:t>
      </w:r>
      <w:r w:rsidRPr="0088105F">
        <w:rPr>
          <w:rFonts w:ascii="Calibri Light" w:hAnsi="Calibri Light"/>
          <w:sz w:val="24"/>
          <w:szCs w:val="24"/>
          <w:lang w:eastAsia="en-AU"/>
        </w:rPr>
        <w:t>: schools report to the local community via their annual report, providing a concise summary of the school’s achievements and progress</w:t>
      </w:r>
    </w:p>
    <w:p w:rsidR="0089574A" w:rsidRPr="0088105F" w:rsidRDefault="0089574A" w:rsidP="00886458">
      <w:pPr>
        <w:pStyle w:val="NoSpacing"/>
        <w:numPr>
          <w:ilvl w:val="0"/>
          <w:numId w:val="26"/>
        </w:numPr>
        <w:tabs>
          <w:tab w:val="left" w:pos="1701"/>
        </w:tabs>
        <w:spacing w:afterAutospacing="0"/>
        <w:ind w:left="1134" w:right="-46" w:hanging="567"/>
        <w:jc w:val="both"/>
        <w:rPr>
          <w:rFonts w:ascii="Calibri Light" w:hAnsi="Calibri Light"/>
          <w:sz w:val="24"/>
          <w:szCs w:val="24"/>
          <w:lang w:eastAsia="en-AU"/>
        </w:rPr>
      </w:pPr>
      <w:r w:rsidRPr="0088105F">
        <w:rPr>
          <w:rFonts w:ascii="Calibri Light" w:hAnsi="Calibri Light"/>
          <w:sz w:val="24"/>
          <w:szCs w:val="24"/>
          <w:u w:val="single"/>
          <w:lang w:eastAsia="en-AU"/>
        </w:rPr>
        <w:t>System reporting:</w:t>
      </w:r>
      <w:r w:rsidRPr="0088105F">
        <w:rPr>
          <w:rFonts w:ascii="Calibri Light" w:hAnsi="Calibri Light"/>
          <w:sz w:val="24"/>
          <w:szCs w:val="24"/>
          <w:lang w:eastAsia="en-AU"/>
        </w:rPr>
        <w:t xml:space="preserve"> the Department reports systemic improvement to the broader educational community through state-wide and national reports, providing statistical and related information about Victorian educational outcomes</w:t>
      </w:r>
    </w:p>
    <w:p w:rsidR="00994A81" w:rsidRPr="0088105F" w:rsidRDefault="00994A81" w:rsidP="00886458">
      <w:pPr>
        <w:ind w:left="567" w:right="-46" w:hanging="567"/>
        <w:jc w:val="both"/>
        <w:rPr>
          <w:rStyle w:val="SubtleReference"/>
          <w:sz w:val="28"/>
        </w:rPr>
      </w:pPr>
    </w:p>
    <w:p w:rsidR="0088105F" w:rsidRDefault="0088105F" w:rsidP="00886458">
      <w:pPr>
        <w:ind w:left="567" w:right="-46" w:hanging="567"/>
        <w:rPr>
          <w:rStyle w:val="SubtleReference"/>
          <w:sz w:val="28"/>
        </w:rPr>
      </w:pPr>
      <w:r>
        <w:rPr>
          <w:rStyle w:val="SubtleReference"/>
          <w:sz w:val="28"/>
        </w:rPr>
        <w:br w:type="page"/>
      </w:r>
    </w:p>
    <w:p w:rsidR="007E58A0" w:rsidRPr="0088105F" w:rsidRDefault="007E58A0" w:rsidP="00886458">
      <w:pPr>
        <w:ind w:left="567" w:right="-46" w:hanging="567"/>
        <w:jc w:val="both"/>
        <w:rPr>
          <w:rStyle w:val="SubtleReference"/>
          <w:sz w:val="28"/>
        </w:rPr>
      </w:pPr>
      <w:r w:rsidRPr="0088105F">
        <w:rPr>
          <w:rStyle w:val="SubtleReference"/>
          <w:sz w:val="28"/>
        </w:rPr>
        <w:lastRenderedPageBreak/>
        <w:t>Implementation</w:t>
      </w:r>
    </w:p>
    <w:p w:rsidR="007E58A0" w:rsidRPr="0088105F" w:rsidRDefault="007E58A0" w:rsidP="00886458">
      <w:pPr>
        <w:numPr>
          <w:ilvl w:val="0"/>
          <w:numId w:val="19"/>
        </w:numPr>
        <w:ind w:left="567" w:right="-46" w:hanging="567"/>
        <w:jc w:val="both"/>
        <w:rPr>
          <w:rFonts w:ascii="Calibri Light" w:hAnsi="Calibri Light"/>
          <w:sz w:val="24"/>
          <w:szCs w:val="24"/>
        </w:rPr>
      </w:pPr>
      <w:r w:rsidRPr="0088105F">
        <w:rPr>
          <w:rFonts w:ascii="Calibri Light" w:hAnsi="Calibri Light"/>
          <w:sz w:val="24"/>
          <w:szCs w:val="24"/>
        </w:rPr>
        <w:t xml:space="preserve">The school will develop a schedule for assessment and reporting to promote a whole-school approach to student progress against </w:t>
      </w:r>
      <w:r w:rsidR="0089574A" w:rsidRPr="0088105F">
        <w:rPr>
          <w:rFonts w:ascii="Calibri Light" w:hAnsi="Calibri Light"/>
          <w:sz w:val="24"/>
          <w:szCs w:val="24"/>
        </w:rPr>
        <w:t>the Victorian Curriculum.</w:t>
      </w:r>
    </w:p>
    <w:p w:rsidR="007E58A0" w:rsidRPr="0088105F" w:rsidRDefault="007E58A0" w:rsidP="00886458">
      <w:pPr>
        <w:numPr>
          <w:ilvl w:val="0"/>
          <w:numId w:val="19"/>
        </w:numPr>
        <w:ind w:left="567" w:right="-46" w:hanging="567"/>
        <w:jc w:val="both"/>
        <w:rPr>
          <w:rFonts w:ascii="Calibri Light" w:hAnsi="Calibri Light"/>
          <w:sz w:val="24"/>
          <w:szCs w:val="24"/>
        </w:rPr>
      </w:pPr>
      <w:r w:rsidRPr="0088105F">
        <w:rPr>
          <w:rFonts w:ascii="Calibri Light" w:hAnsi="Calibri Light"/>
          <w:sz w:val="24"/>
          <w:szCs w:val="24"/>
        </w:rPr>
        <w:t>Teams of teachers are expected to develop and utilise a range of tools for use in different contexts that allow individuals, groups or the whole class to give feedback at appropriate stages about what has been learnt.</w:t>
      </w:r>
    </w:p>
    <w:p w:rsidR="007E58A0" w:rsidRPr="0088105F" w:rsidRDefault="007E58A0" w:rsidP="00886458">
      <w:pPr>
        <w:numPr>
          <w:ilvl w:val="0"/>
          <w:numId w:val="19"/>
        </w:numPr>
        <w:ind w:left="567" w:right="-46" w:hanging="567"/>
        <w:jc w:val="both"/>
        <w:rPr>
          <w:rFonts w:ascii="Calibri Light" w:hAnsi="Calibri Light"/>
          <w:sz w:val="24"/>
          <w:szCs w:val="24"/>
        </w:rPr>
      </w:pPr>
      <w:r w:rsidRPr="0088105F">
        <w:rPr>
          <w:rFonts w:ascii="Calibri Light" w:hAnsi="Calibri Light"/>
          <w:sz w:val="24"/>
          <w:szCs w:val="24"/>
        </w:rPr>
        <w:t>Tools should enable students to monitor and reflect upon their own learning.</w:t>
      </w:r>
    </w:p>
    <w:p w:rsidR="00F53651" w:rsidRPr="0088105F" w:rsidRDefault="00F53651" w:rsidP="00886458">
      <w:pPr>
        <w:numPr>
          <w:ilvl w:val="0"/>
          <w:numId w:val="19"/>
        </w:numPr>
        <w:ind w:left="567" w:right="-46" w:hanging="567"/>
        <w:jc w:val="both"/>
        <w:rPr>
          <w:rFonts w:ascii="Calibri Light" w:hAnsi="Calibri Light"/>
          <w:sz w:val="24"/>
          <w:szCs w:val="24"/>
        </w:rPr>
      </w:pPr>
      <w:r w:rsidRPr="0088105F">
        <w:rPr>
          <w:rFonts w:ascii="Calibri Light" w:hAnsi="Calibri Light"/>
          <w:sz w:val="24"/>
          <w:szCs w:val="24"/>
        </w:rPr>
        <w:t>The school will select from the range of assessment tools available on the Insight Assessment Platform.</w:t>
      </w:r>
    </w:p>
    <w:p w:rsidR="007E58A0" w:rsidRPr="0088105F" w:rsidRDefault="007E58A0" w:rsidP="00886458">
      <w:pPr>
        <w:pStyle w:val="ListParagraph"/>
        <w:numPr>
          <w:ilvl w:val="0"/>
          <w:numId w:val="19"/>
        </w:numPr>
        <w:ind w:left="567" w:right="-46" w:hanging="567"/>
        <w:jc w:val="both"/>
        <w:rPr>
          <w:rFonts w:ascii="Calibri Light" w:hAnsi="Calibri Light"/>
        </w:rPr>
      </w:pPr>
      <w:r w:rsidRPr="0088105F">
        <w:rPr>
          <w:rFonts w:ascii="Calibri Light" w:hAnsi="Calibri Light"/>
        </w:rPr>
        <w:t>Feedback to students will be timely, given early in a unit, or promptly after assessment tasks, so that students have sufficient opportunity to use the feedback for improving subsequent performance. The style of feedback links to the style of assessment.</w:t>
      </w:r>
    </w:p>
    <w:p w:rsidR="007E58A0" w:rsidRPr="0088105F" w:rsidRDefault="007E58A0" w:rsidP="00886458">
      <w:pPr>
        <w:numPr>
          <w:ilvl w:val="0"/>
          <w:numId w:val="19"/>
        </w:numPr>
        <w:ind w:left="567" w:right="-46" w:hanging="567"/>
        <w:jc w:val="both"/>
        <w:rPr>
          <w:rFonts w:ascii="Calibri Light" w:hAnsi="Calibri Light"/>
          <w:i/>
          <w:sz w:val="24"/>
          <w:szCs w:val="24"/>
        </w:rPr>
      </w:pPr>
      <w:r w:rsidRPr="0088105F">
        <w:rPr>
          <w:rFonts w:ascii="Calibri Light" w:hAnsi="Calibri Light"/>
          <w:sz w:val="24"/>
          <w:szCs w:val="24"/>
        </w:rPr>
        <w:t xml:space="preserve">Please refer also the school’s </w:t>
      </w:r>
      <w:r w:rsidRPr="0088105F">
        <w:rPr>
          <w:rFonts w:ascii="Calibri Light" w:hAnsi="Calibri Light"/>
          <w:i/>
          <w:sz w:val="24"/>
          <w:szCs w:val="24"/>
        </w:rPr>
        <w:t>Data Analysis &amp; Use Policy</w:t>
      </w:r>
      <w:r w:rsidR="0089574A" w:rsidRPr="0088105F">
        <w:rPr>
          <w:rFonts w:ascii="Calibri Light" w:hAnsi="Calibri Light"/>
          <w:i/>
          <w:sz w:val="24"/>
          <w:szCs w:val="24"/>
        </w:rPr>
        <w:t>,</w:t>
      </w:r>
      <w:r w:rsidRPr="0088105F">
        <w:rPr>
          <w:rFonts w:ascii="Calibri Light" w:hAnsi="Calibri Light"/>
          <w:sz w:val="24"/>
          <w:szCs w:val="24"/>
        </w:rPr>
        <w:t xml:space="preserve"> the </w:t>
      </w:r>
      <w:r w:rsidRPr="0088105F">
        <w:rPr>
          <w:rFonts w:ascii="Calibri Light" w:hAnsi="Calibri Light"/>
          <w:i/>
          <w:sz w:val="24"/>
          <w:szCs w:val="24"/>
        </w:rPr>
        <w:t>Reporting to Parents Policy</w:t>
      </w:r>
      <w:r w:rsidR="0089574A" w:rsidRPr="0088105F">
        <w:rPr>
          <w:rFonts w:ascii="Calibri Light" w:hAnsi="Calibri Light"/>
          <w:sz w:val="24"/>
          <w:szCs w:val="24"/>
        </w:rPr>
        <w:t xml:space="preserve"> and the </w:t>
      </w:r>
      <w:r w:rsidR="0089574A" w:rsidRPr="0088105F">
        <w:rPr>
          <w:rFonts w:ascii="Calibri Light" w:hAnsi="Calibri Light"/>
          <w:i/>
          <w:sz w:val="24"/>
          <w:szCs w:val="24"/>
        </w:rPr>
        <w:t>Archives &amp; Records Management Policy.</w:t>
      </w:r>
    </w:p>
    <w:p w:rsidR="00EE404C" w:rsidRPr="0088105F" w:rsidRDefault="00EE404C" w:rsidP="00886458">
      <w:pPr>
        <w:tabs>
          <w:tab w:val="left" w:pos="284"/>
          <w:tab w:val="left" w:pos="567"/>
        </w:tabs>
        <w:ind w:left="567" w:right="-46" w:hanging="567"/>
        <w:jc w:val="both"/>
        <w:rPr>
          <w:rStyle w:val="SubtleReference"/>
        </w:rPr>
      </w:pPr>
    </w:p>
    <w:p w:rsidR="007E58A0" w:rsidRPr="0088105F" w:rsidRDefault="007E58A0" w:rsidP="00886458">
      <w:pPr>
        <w:ind w:left="567" w:right="-46" w:hanging="567"/>
        <w:jc w:val="both"/>
        <w:rPr>
          <w:rStyle w:val="SubtleReference"/>
          <w:sz w:val="28"/>
        </w:rPr>
      </w:pPr>
      <w:r w:rsidRPr="0088105F">
        <w:rPr>
          <w:rStyle w:val="SubtleReference"/>
          <w:sz w:val="28"/>
        </w:rPr>
        <w:t>Evaluation</w:t>
      </w:r>
    </w:p>
    <w:p w:rsidR="007E58A0" w:rsidRPr="0088105F" w:rsidRDefault="007E58A0" w:rsidP="00886458">
      <w:pPr>
        <w:pStyle w:val="ListParagraph"/>
        <w:numPr>
          <w:ilvl w:val="0"/>
          <w:numId w:val="18"/>
        </w:numPr>
        <w:spacing w:after="100" w:afterAutospacing="1"/>
        <w:ind w:left="567" w:right="-46" w:hanging="567"/>
        <w:jc w:val="both"/>
        <w:rPr>
          <w:rFonts w:ascii="Calibri Light" w:hAnsi="Calibri Light"/>
        </w:rPr>
      </w:pPr>
      <w:r w:rsidRPr="0088105F">
        <w:rPr>
          <w:rFonts w:ascii="Calibri Light" w:hAnsi="Calibri Light"/>
        </w:rPr>
        <w:t xml:space="preserve">This policy will be reviewed as part of the school’s three-year review cycle or if guidelines change (latest DET update </w:t>
      </w:r>
      <w:r w:rsidR="00F53651" w:rsidRPr="0088105F">
        <w:rPr>
          <w:rFonts w:ascii="Calibri Light" w:hAnsi="Calibri Light"/>
        </w:rPr>
        <w:t>early July</w:t>
      </w:r>
      <w:r w:rsidRPr="0088105F">
        <w:rPr>
          <w:rFonts w:ascii="Calibri Light" w:hAnsi="Calibri Light"/>
        </w:rPr>
        <w:t xml:space="preserve"> 201</w:t>
      </w:r>
      <w:r w:rsidR="0089574A" w:rsidRPr="0088105F">
        <w:rPr>
          <w:rFonts w:ascii="Calibri Light" w:hAnsi="Calibri Light"/>
        </w:rPr>
        <w:t>7</w:t>
      </w:r>
      <w:r w:rsidRPr="0088105F">
        <w:rPr>
          <w:rFonts w:ascii="Calibri Light" w:hAnsi="Calibri Light"/>
        </w:rPr>
        <w:t>).</w:t>
      </w:r>
    </w:p>
    <w:p w:rsidR="007E58A0" w:rsidRPr="0088105F" w:rsidRDefault="009F70AC" w:rsidP="00886458">
      <w:pPr>
        <w:ind w:left="567" w:right="-46" w:hanging="567"/>
        <w:jc w:val="both"/>
        <w:rPr>
          <w:rStyle w:val="SubtleReference"/>
          <w:sz w:val="28"/>
        </w:rPr>
      </w:pPr>
      <w:r w:rsidRPr="0088105F">
        <w:rPr>
          <w:rStyle w:val="SubtleReference"/>
          <w:sz w:val="28"/>
        </w:rPr>
        <w:t>Ratification</w:t>
      </w:r>
    </w:p>
    <w:p w:rsidR="007E58A0" w:rsidRPr="0088105F" w:rsidRDefault="007E58A0" w:rsidP="00886458">
      <w:pPr>
        <w:pStyle w:val="ListParagraph"/>
        <w:numPr>
          <w:ilvl w:val="0"/>
          <w:numId w:val="18"/>
        </w:numPr>
        <w:spacing w:after="100" w:afterAutospacing="1"/>
        <w:ind w:left="567" w:right="-46" w:hanging="567"/>
        <w:jc w:val="both"/>
        <w:rPr>
          <w:rFonts w:ascii="Calibri Light" w:hAnsi="Calibri Light"/>
        </w:rPr>
      </w:pPr>
      <w:r w:rsidRPr="0088105F">
        <w:rPr>
          <w:rFonts w:ascii="Calibri Light" w:hAnsi="Calibri Light"/>
        </w:rPr>
        <w:t xml:space="preserve">This </w:t>
      </w:r>
      <w:r w:rsidR="0089574A" w:rsidRPr="0088105F">
        <w:rPr>
          <w:rFonts w:ascii="Calibri Light" w:hAnsi="Calibri Light"/>
        </w:rPr>
        <w:t>update</w:t>
      </w:r>
      <w:r w:rsidRPr="0088105F">
        <w:rPr>
          <w:rFonts w:ascii="Calibri Light" w:hAnsi="Calibri Light"/>
        </w:rPr>
        <w:t xml:space="preserve"> was ratified by </w:t>
      </w:r>
      <w:r w:rsidR="0061426F" w:rsidRPr="0088105F">
        <w:rPr>
          <w:rFonts w:ascii="Calibri Light" w:hAnsi="Calibri Light"/>
        </w:rPr>
        <w:t xml:space="preserve">the College </w:t>
      </w:r>
      <w:r w:rsidRPr="0088105F">
        <w:rPr>
          <w:rFonts w:ascii="Calibri Light" w:hAnsi="Calibri Light"/>
        </w:rPr>
        <w:t xml:space="preserve">Council on </w:t>
      </w:r>
      <w:r w:rsidR="009F70AC" w:rsidRPr="0088105F">
        <w:rPr>
          <w:rFonts w:ascii="Calibri Light" w:hAnsi="Calibri Light"/>
        </w:rPr>
        <w:t>15</w:t>
      </w:r>
      <w:r w:rsidR="009F70AC" w:rsidRPr="0088105F">
        <w:rPr>
          <w:rFonts w:ascii="Calibri Light" w:hAnsi="Calibri Light"/>
          <w:vertAlign w:val="superscript"/>
        </w:rPr>
        <w:t>th</w:t>
      </w:r>
      <w:r w:rsidR="009F70AC" w:rsidRPr="0088105F">
        <w:rPr>
          <w:rFonts w:ascii="Calibri Light" w:hAnsi="Calibri Light"/>
        </w:rPr>
        <w:t xml:space="preserve"> </w:t>
      </w:r>
      <w:r w:rsidR="00886458">
        <w:rPr>
          <w:rFonts w:ascii="Calibri Light" w:hAnsi="Calibri Light"/>
        </w:rPr>
        <w:t>February</w:t>
      </w:r>
      <w:bookmarkStart w:id="0" w:name="_GoBack"/>
      <w:bookmarkEnd w:id="0"/>
      <w:r w:rsidR="009F70AC" w:rsidRPr="0088105F">
        <w:rPr>
          <w:rFonts w:ascii="Calibri Light" w:hAnsi="Calibri Light"/>
        </w:rPr>
        <w:t>, 2018.</w:t>
      </w:r>
    </w:p>
    <w:p w:rsidR="007E58A0" w:rsidRPr="0088105F" w:rsidRDefault="007E58A0" w:rsidP="00886458">
      <w:pPr>
        <w:ind w:left="567" w:right="-46" w:hanging="567"/>
        <w:jc w:val="both"/>
        <w:rPr>
          <w:rStyle w:val="SubtleReference"/>
          <w:sz w:val="28"/>
        </w:rPr>
      </w:pPr>
      <w:r w:rsidRPr="0088105F">
        <w:rPr>
          <w:rStyle w:val="SubtleReference"/>
          <w:sz w:val="28"/>
        </w:rPr>
        <w:t>Reference:</w:t>
      </w:r>
    </w:p>
    <w:p w:rsidR="00B3600D" w:rsidRPr="0088105F" w:rsidRDefault="006153CD" w:rsidP="00886458">
      <w:pPr>
        <w:pStyle w:val="ListParagraph"/>
        <w:numPr>
          <w:ilvl w:val="0"/>
          <w:numId w:val="18"/>
        </w:numPr>
        <w:spacing w:after="100" w:afterAutospacing="1"/>
        <w:ind w:left="567" w:right="-46" w:hanging="567"/>
        <w:jc w:val="both"/>
        <w:rPr>
          <w:rFonts w:ascii="Calibri Light" w:hAnsi="Calibri Light"/>
        </w:rPr>
      </w:pPr>
      <w:hyperlink r:id="rId11" w:history="1">
        <w:r w:rsidR="007E58A0" w:rsidRPr="0088105F">
          <w:rPr>
            <w:rFonts w:ascii="Calibri Light" w:hAnsi="Calibri Light"/>
          </w:rPr>
          <w:t>www.education.vic.gov.au/school/principals/spag/curriculum/pages/assessment.aspx</w:t>
        </w:r>
      </w:hyperlink>
    </w:p>
    <w:sectPr w:rsidR="00B3600D" w:rsidRPr="0088105F" w:rsidSect="002252E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CD" w:rsidRDefault="006153CD" w:rsidP="00302564">
      <w:r>
        <w:separator/>
      </w:r>
    </w:p>
  </w:endnote>
  <w:endnote w:type="continuationSeparator" w:id="0">
    <w:p w:rsidR="006153CD" w:rsidRDefault="006153CD" w:rsidP="0030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400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2564" w:rsidRDefault="00302564" w:rsidP="009F70A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4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CD" w:rsidRDefault="006153CD" w:rsidP="00302564">
      <w:r>
        <w:separator/>
      </w:r>
    </w:p>
  </w:footnote>
  <w:footnote w:type="continuationSeparator" w:id="0">
    <w:p w:rsidR="006153CD" w:rsidRDefault="006153CD" w:rsidP="0030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23"/>
      <w:gridCol w:w="2493"/>
    </w:tblGrid>
    <w:tr w:rsidR="00B60E3B" w:rsidTr="00AA34F1">
      <w:trPr>
        <w:trHeight w:val="1691"/>
      </w:trPr>
      <w:tc>
        <w:tcPr>
          <w:tcW w:w="6912" w:type="dxa"/>
          <w:vAlign w:val="center"/>
        </w:tcPr>
        <w:p w:rsidR="00B60E3B" w:rsidRPr="009F70AC" w:rsidRDefault="00B60E3B" w:rsidP="00B60E3B">
          <w:pPr>
            <w:tabs>
              <w:tab w:val="left" w:pos="2655"/>
            </w:tabs>
            <w:jc w:val="center"/>
            <w:rPr>
              <w:rFonts w:ascii="Calibri Light" w:hAnsi="Calibri Light"/>
              <w:sz w:val="36"/>
            </w:rPr>
          </w:pPr>
          <w:r w:rsidRPr="009F70AC">
            <w:rPr>
              <w:rFonts w:ascii="Calibri Light" w:hAnsi="Calibri Light"/>
              <w:sz w:val="36"/>
            </w:rPr>
            <w:t>ASSESSMENT POLICY</w:t>
          </w:r>
        </w:p>
        <w:p w:rsidR="00B60E3B" w:rsidRPr="00302564" w:rsidRDefault="00B60E3B" w:rsidP="00B60E3B">
          <w:pPr>
            <w:tabs>
              <w:tab w:val="left" w:pos="2655"/>
            </w:tabs>
            <w:jc w:val="center"/>
          </w:pPr>
          <w:r w:rsidRPr="009F70AC">
            <w:rPr>
              <w:rFonts w:ascii="Calibri Light" w:hAnsi="Calibri Light"/>
              <w:sz w:val="36"/>
            </w:rPr>
            <w:t>(Years F-10)</w:t>
          </w:r>
        </w:p>
      </w:tc>
      <w:tc>
        <w:tcPr>
          <w:tcW w:w="2694" w:type="dxa"/>
        </w:tcPr>
        <w:p w:rsidR="00B60E3B" w:rsidRDefault="00B60E3B" w:rsidP="00B60E3B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6A7A7F" wp14:editId="37EA2B36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02564" w:rsidRDefault="00302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5D9E"/>
    <w:multiLevelType w:val="hybridMultilevel"/>
    <w:tmpl w:val="6332E7A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E32410"/>
    <w:multiLevelType w:val="hybridMultilevel"/>
    <w:tmpl w:val="84F87C3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3CB"/>
    <w:multiLevelType w:val="hybridMultilevel"/>
    <w:tmpl w:val="33EEA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AE5"/>
    <w:multiLevelType w:val="hybridMultilevel"/>
    <w:tmpl w:val="FF82D432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7C38"/>
    <w:multiLevelType w:val="hybridMultilevel"/>
    <w:tmpl w:val="8542B2F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0C273DF"/>
    <w:multiLevelType w:val="hybridMultilevel"/>
    <w:tmpl w:val="1CB46954"/>
    <w:lvl w:ilvl="0" w:tplc="D062F624">
      <w:start w:val="1"/>
      <w:numFmt w:val="bullet"/>
      <w:lvlText w:val="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46D1"/>
    <w:multiLevelType w:val="hybridMultilevel"/>
    <w:tmpl w:val="14FED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E1E76"/>
    <w:multiLevelType w:val="hybridMultilevel"/>
    <w:tmpl w:val="9A10F5BA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7F3"/>
    <w:multiLevelType w:val="hybridMultilevel"/>
    <w:tmpl w:val="22B4CB8E"/>
    <w:lvl w:ilvl="0" w:tplc="479812EC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6E0DC0"/>
    <w:multiLevelType w:val="hybridMultilevel"/>
    <w:tmpl w:val="453A4BB6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EAF1947"/>
    <w:multiLevelType w:val="hybridMultilevel"/>
    <w:tmpl w:val="EED05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B1DFB"/>
    <w:multiLevelType w:val="hybridMultilevel"/>
    <w:tmpl w:val="D8C6A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E22E6"/>
    <w:multiLevelType w:val="hybridMultilevel"/>
    <w:tmpl w:val="FF82CC6A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407323D"/>
    <w:multiLevelType w:val="hybridMultilevel"/>
    <w:tmpl w:val="292E1DB2"/>
    <w:lvl w:ilvl="0" w:tplc="479812EC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6BA4EEB"/>
    <w:multiLevelType w:val="hybridMultilevel"/>
    <w:tmpl w:val="9FA8733A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096D"/>
    <w:multiLevelType w:val="hybridMultilevel"/>
    <w:tmpl w:val="960E3E06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1932"/>
    <w:multiLevelType w:val="hybridMultilevel"/>
    <w:tmpl w:val="8548BFF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236474E"/>
    <w:multiLevelType w:val="hybridMultilevel"/>
    <w:tmpl w:val="EF4002D0"/>
    <w:lvl w:ilvl="0" w:tplc="E9A63CAE">
      <w:numFmt w:val="bullet"/>
      <w:lvlText w:val="─"/>
      <w:lvlJc w:val="left"/>
      <w:pPr>
        <w:ind w:left="1996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538C66C9"/>
    <w:multiLevelType w:val="hybridMultilevel"/>
    <w:tmpl w:val="D8D87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B6629"/>
    <w:multiLevelType w:val="hybridMultilevel"/>
    <w:tmpl w:val="DD6C07A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8463848"/>
    <w:multiLevelType w:val="hybridMultilevel"/>
    <w:tmpl w:val="2E0862EA"/>
    <w:lvl w:ilvl="0" w:tplc="E9A63CAE">
      <w:numFmt w:val="bullet"/>
      <w:lvlText w:val="─"/>
      <w:lvlJc w:val="left"/>
      <w:pPr>
        <w:ind w:left="720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00C23"/>
    <w:multiLevelType w:val="hybridMultilevel"/>
    <w:tmpl w:val="849CC404"/>
    <w:lvl w:ilvl="0" w:tplc="24367232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423817"/>
    <w:multiLevelType w:val="hybridMultilevel"/>
    <w:tmpl w:val="192AB978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86F0C"/>
    <w:multiLevelType w:val="hybridMultilevel"/>
    <w:tmpl w:val="B9CEA66C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B4E8F"/>
    <w:multiLevelType w:val="hybridMultilevel"/>
    <w:tmpl w:val="26BC6CBE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56923"/>
    <w:multiLevelType w:val="multilevel"/>
    <w:tmpl w:val="46CA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C4A09"/>
    <w:multiLevelType w:val="multilevel"/>
    <w:tmpl w:val="DA06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3230F"/>
    <w:multiLevelType w:val="hybridMultilevel"/>
    <w:tmpl w:val="5AF0407C"/>
    <w:lvl w:ilvl="0" w:tplc="E9A63CAE">
      <w:numFmt w:val="bullet"/>
      <w:lvlText w:val="─"/>
      <w:lvlJc w:val="left"/>
      <w:pPr>
        <w:ind w:left="1287" w:hanging="360"/>
      </w:pPr>
      <w:rPr>
        <w:rFonts w:ascii="Calibri Light" w:eastAsiaTheme="minorHAnsi" w:hAnsi="Calibri Light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FA300A"/>
    <w:multiLevelType w:val="hybridMultilevel"/>
    <w:tmpl w:val="255A380A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F2929ED"/>
    <w:multiLevelType w:val="hybridMultilevel"/>
    <w:tmpl w:val="5766722E"/>
    <w:lvl w:ilvl="0" w:tplc="243672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3"/>
  </w:num>
  <w:num w:numId="5">
    <w:abstractNumId w:val="28"/>
  </w:num>
  <w:num w:numId="6">
    <w:abstractNumId w:val="4"/>
  </w:num>
  <w:num w:numId="7">
    <w:abstractNumId w:val="11"/>
  </w:num>
  <w:num w:numId="8">
    <w:abstractNumId w:val="21"/>
  </w:num>
  <w:num w:numId="9">
    <w:abstractNumId w:val="16"/>
  </w:num>
  <w:num w:numId="10">
    <w:abstractNumId w:val="0"/>
  </w:num>
  <w:num w:numId="11">
    <w:abstractNumId w:val="19"/>
  </w:num>
  <w:num w:numId="12">
    <w:abstractNumId w:val="15"/>
  </w:num>
  <w:num w:numId="13">
    <w:abstractNumId w:val="7"/>
  </w:num>
  <w:num w:numId="14">
    <w:abstractNumId w:val="24"/>
  </w:num>
  <w:num w:numId="15">
    <w:abstractNumId w:val="3"/>
  </w:num>
  <w:num w:numId="16">
    <w:abstractNumId w:val="6"/>
  </w:num>
  <w:num w:numId="17">
    <w:abstractNumId w:val="1"/>
  </w:num>
  <w:num w:numId="18">
    <w:abstractNumId w:val="27"/>
  </w:num>
  <w:num w:numId="19">
    <w:abstractNumId w:val="17"/>
  </w:num>
  <w:num w:numId="20">
    <w:abstractNumId w:val="10"/>
  </w:num>
  <w:num w:numId="21">
    <w:abstractNumId w:val="29"/>
  </w:num>
  <w:num w:numId="22">
    <w:abstractNumId w:val="22"/>
  </w:num>
  <w:num w:numId="23">
    <w:abstractNumId w:val="18"/>
  </w:num>
  <w:num w:numId="24">
    <w:abstractNumId w:val="20"/>
  </w:num>
  <w:num w:numId="25">
    <w:abstractNumId w:val="2"/>
  </w:num>
  <w:num w:numId="26">
    <w:abstractNumId w:val="14"/>
  </w:num>
  <w:num w:numId="2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8"/>
  </w:num>
  <w:num w:numId="29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0D"/>
    <w:rsid w:val="00022D22"/>
    <w:rsid w:val="000352EA"/>
    <w:rsid w:val="00065998"/>
    <w:rsid w:val="000B2705"/>
    <w:rsid w:val="000E2AC0"/>
    <w:rsid w:val="00161EEB"/>
    <w:rsid w:val="00184669"/>
    <w:rsid w:val="0019375E"/>
    <w:rsid w:val="001B1ED6"/>
    <w:rsid w:val="002252ED"/>
    <w:rsid w:val="002617EB"/>
    <w:rsid w:val="002A0FBC"/>
    <w:rsid w:val="002A4594"/>
    <w:rsid w:val="002B6D9D"/>
    <w:rsid w:val="00302564"/>
    <w:rsid w:val="003627CB"/>
    <w:rsid w:val="003C0CD6"/>
    <w:rsid w:val="00401781"/>
    <w:rsid w:val="00441C6E"/>
    <w:rsid w:val="00447EBF"/>
    <w:rsid w:val="00451B2C"/>
    <w:rsid w:val="00455BB2"/>
    <w:rsid w:val="00463ABF"/>
    <w:rsid w:val="00463D52"/>
    <w:rsid w:val="004A3126"/>
    <w:rsid w:val="004E5516"/>
    <w:rsid w:val="00515A38"/>
    <w:rsid w:val="005176F6"/>
    <w:rsid w:val="00521774"/>
    <w:rsid w:val="00536B92"/>
    <w:rsid w:val="00564537"/>
    <w:rsid w:val="0061426F"/>
    <w:rsid w:val="006153CD"/>
    <w:rsid w:val="006222E7"/>
    <w:rsid w:val="00650FE3"/>
    <w:rsid w:val="006615A0"/>
    <w:rsid w:val="00666D2E"/>
    <w:rsid w:val="006A50E1"/>
    <w:rsid w:val="00725257"/>
    <w:rsid w:val="00737336"/>
    <w:rsid w:val="00763190"/>
    <w:rsid w:val="00776508"/>
    <w:rsid w:val="007B2F3F"/>
    <w:rsid w:val="007B69B2"/>
    <w:rsid w:val="007C6CC7"/>
    <w:rsid w:val="007E58A0"/>
    <w:rsid w:val="008073A6"/>
    <w:rsid w:val="00812DB4"/>
    <w:rsid w:val="008232FB"/>
    <w:rsid w:val="00857D19"/>
    <w:rsid w:val="00874B72"/>
    <w:rsid w:val="0088105F"/>
    <w:rsid w:val="00886458"/>
    <w:rsid w:val="0089574A"/>
    <w:rsid w:val="008E23BD"/>
    <w:rsid w:val="008E7298"/>
    <w:rsid w:val="00914503"/>
    <w:rsid w:val="009277F0"/>
    <w:rsid w:val="009729CD"/>
    <w:rsid w:val="00994A81"/>
    <w:rsid w:val="009F095C"/>
    <w:rsid w:val="009F70AC"/>
    <w:rsid w:val="00A06C9D"/>
    <w:rsid w:val="00A7284F"/>
    <w:rsid w:val="00B3600D"/>
    <w:rsid w:val="00B60E3B"/>
    <w:rsid w:val="00BC6B9B"/>
    <w:rsid w:val="00C17A0F"/>
    <w:rsid w:val="00C2061B"/>
    <w:rsid w:val="00C34D6E"/>
    <w:rsid w:val="00C94BFD"/>
    <w:rsid w:val="00CA1821"/>
    <w:rsid w:val="00CC5958"/>
    <w:rsid w:val="00CD39B5"/>
    <w:rsid w:val="00CD5A2E"/>
    <w:rsid w:val="00CE31AB"/>
    <w:rsid w:val="00D02DDC"/>
    <w:rsid w:val="00D038F8"/>
    <w:rsid w:val="00D768CB"/>
    <w:rsid w:val="00D90A21"/>
    <w:rsid w:val="00DF413B"/>
    <w:rsid w:val="00E13563"/>
    <w:rsid w:val="00E21999"/>
    <w:rsid w:val="00E40A2E"/>
    <w:rsid w:val="00E7469A"/>
    <w:rsid w:val="00EC58FF"/>
    <w:rsid w:val="00EE404C"/>
    <w:rsid w:val="00F53651"/>
    <w:rsid w:val="00F650DB"/>
    <w:rsid w:val="00F77B23"/>
    <w:rsid w:val="00F81D4B"/>
    <w:rsid w:val="00F87748"/>
    <w:rsid w:val="00FC1A5D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7EA0"/>
  <w15:docId w15:val="{3846BB58-54CE-4F86-8EDE-E0A674B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DC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2DDC"/>
    <w:rPr>
      <w:color w:val="0000FF"/>
      <w:u w:val="single"/>
    </w:rPr>
  </w:style>
  <w:style w:type="paragraph" w:styleId="NoSpacing">
    <w:name w:val="No Spacing"/>
    <w:uiPriority w:val="1"/>
    <w:qFormat/>
    <w:rsid w:val="00D02DDC"/>
    <w:pPr>
      <w:spacing w:afterAutospacing="1"/>
      <w:jc w:val="left"/>
    </w:pPr>
    <w:rPr>
      <w:rFonts w:ascii="Arial Narrow" w:eastAsia="Calibri" w:hAnsi="Arial Narrow" w:cs="Times New Roman"/>
    </w:rPr>
  </w:style>
  <w:style w:type="character" w:styleId="Emphasis">
    <w:name w:val="Emphasis"/>
    <w:basedOn w:val="DefaultParagraphFont"/>
    <w:uiPriority w:val="20"/>
    <w:qFormat/>
    <w:rsid w:val="00D02DDC"/>
    <w:rPr>
      <w:b w:val="0"/>
      <w:bCs w:val="0"/>
      <w:i/>
      <w:iCs/>
    </w:rPr>
  </w:style>
  <w:style w:type="paragraph" w:styleId="Header">
    <w:name w:val="header"/>
    <w:basedOn w:val="Normal"/>
    <w:link w:val="HeaderChar"/>
    <w:uiPriority w:val="99"/>
    <w:unhideWhenUsed/>
    <w:rsid w:val="00C34D6E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34D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25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564"/>
  </w:style>
  <w:style w:type="paragraph" w:styleId="Title">
    <w:name w:val="Title"/>
    <w:basedOn w:val="Normal"/>
    <w:link w:val="TitleChar"/>
    <w:qFormat/>
    <w:rsid w:val="00302564"/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02564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302564"/>
    <w:pPr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F81D4B"/>
    <w:rPr>
      <w:rFonts w:ascii="Calibri Light" w:hAnsi="Calibri Light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6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15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05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89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51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0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7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5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607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7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principals/spag/curriculum/pages/assessment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insight.vic.edu.au/insight-platfor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928BA-9C79-4AF1-8D49-2D2B3BC27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6B5AB-63C8-47EF-854F-C2C737B35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605388-38DC-4F07-AA74-C39D42B95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Anna Rigoni</cp:lastModifiedBy>
  <cp:revision>8</cp:revision>
  <dcterms:created xsi:type="dcterms:W3CDTF">2017-09-14T04:24:00Z</dcterms:created>
  <dcterms:modified xsi:type="dcterms:W3CDTF">2017-12-31T04:54:00Z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