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9AA" w:rsidRPr="00FF1367" w:rsidRDefault="00DC79AA" w:rsidP="00963552">
      <w:pPr>
        <w:pStyle w:val="NoSpacing"/>
        <w:rPr>
          <w:rStyle w:val="SubtleReference"/>
          <w:rFonts w:asciiTheme="majorHAnsi" w:hAnsiTheme="majorHAnsi" w:cstheme="majorHAnsi"/>
          <w:color w:val="auto"/>
          <w:sz w:val="24"/>
          <w:u w:val="single"/>
        </w:rPr>
      </w:pPr>
      <w:r w:rsidRPr="00FF1367">
        <w:rPr>
          <w:rStyle w:val="SubtleReference"/>
          <w:rFonts w:asciiTheme="majorHAnsi" w:hAnsiTheme="majorHAnsi" w:cstheme="majorHAnsi"/>
          <w:color w:val="auto"/>
          <w:sz w:val="24"/>
          <w:u w:val="single"/>
        </w:rPr>
        <w:t>Rationale</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Schools frequently receive requests for informa</w:t>
      </w:r>
      <w:r w:rsidR="00FA7944" w:rsidRPr="00FF1367">
        <w:rPr>
          <w:rFonts w:asciiTheme="majorHAnsi" w:hAnsiTheme="majorHAnsi" w:cstheme="majorHAnsi"/>
          <w:sz w:val="24"/>
          <w:szCs w:val="21"/>
        </w:rPr>
        <w:t>tion from a variety of sources.</w:t>
      </w:r>
      <w:r w:rsidRPr="00FF1367">
        <w:rPr>
          <w:rFonts w:asciiTheme="majorHAnsi" w:hAnsiTheme="majorHAnsi" w:cstheme="majorHAnsi"/>
          <w:sz w:val="24"/>
          <w:szCs w:val="21"/>
        </w:rPr>
        <w:t xml:space="preserve">  Whilst there are </w:t>
      </w:r>
      <w:proofErr w:type="gramStart"/>
      <w:r w:rsidRPr="00FF1367">
        <w:rPr>
          <w:rFonts w:asciiTheme="majorHAnsi" w:hAnsiTheme="majorHAnsi" w:cstheme="majorHAnsi"/>
          <w:sz w:val="24"/>
          <w:szCs w:val="21"/>
        </w:rPr>
        <w:t>a number of</w:t>
      </w:r>
      <w:proofErr w:type="gramEnd"/>
      <w:r w:rsidRPr="00FF1367">
        <w:rPr>
          <w:rFonts w:asciiTheme="majorHAnsi" w:hAnsiTheme="majorHAnsi" w:cstheme="majorHAnsi"/>
          <w:sz w:val="24"/>
          <w:szCs w:val="21"/>
        </w:rPr>
        <w:t xml:space="preserve"> situations in which information sharing is lawful, the first consideration is always privacy legislation.</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This policy specifically relates to access to information, communications and student reports by parents/</w:t>
      </w:r>
      <w:r w:rsidR="00BD5FC7" w:rsidRPr="00FF1367">
        <w:rPr>
          <w:rFonts w:asciiTheme="majorHAnsi" w:hAnsiTheme="majorHAnsi" w:cstheme="majorHAnsi"/>
          <w:sz w:val="24"/>
          <w:szCs w:val="21"/>
        </w:rPr>
        <w:t>carer</w:t>
      </w:r>
      <w:r w:rsidRPr="00FF1367">
        <w:rPr>
          <w:rFonts w:asciiTheme="majorHAnsi" w:hAnsiTheme="majorHAnsi" w:cstheme="majorHAnsi"/>
          <w:sz w:val="24"/>
          <w:szCs w:val="21"/>
        </w:rPr>
        <w:t>s or casual carers.</w:t>
      </w:r>
    </w:p>
    <w:p w:rsidR="00DC79AA" w:rsidRPr="00FF1367" w:rsidRDefault="00DC79AA" w:rsidP="001E5015">
      <w:pPr>
        <w:pStyle w:val="NoSpacing"/>
        <w:ind w:left="1134" w:hanging="425"/>
        <w:rPr>
          <w:rFonts w:asciiTheme="majorHAnsi" w:hAnsiTheme="majorHAnsi" w:cstheme="majorHAnsi"/>
          <w:sz w:val="24"/>
          <w:szCs w:val="21"/>
        </w:rPr>
      </w:pPr>
    </w:p>
    <w:p w:rsidR="00DC79AA" w:rsidRPr="00FF1367" w:rsidRDefault="00DC79AA" w:rsidP="00963552">
      <w:pPr>
        <w:pStyle w:val="NoSpacing"/>
        <w:rPr>
          <w:rStyle w:val="SubtleReference"/>
          <w:rFonts w:asciiTheme="majorHAnsi" w:hAnsiTheme="majorHAnsi" w:cstheme="majorHAnsi"/>
          <w:color w:val="auto"/>
          <w:sz w:val="24"/>
          <w:u w:val="single"/>
        </w:rPr>
      </w:pPr>
      <w:r w:rsidRPr="00FF1367">
        <w:rPr>
          <w:rStyle w:val="SubtleReference"/>
          <w:rFonts w:asciiTheme="majorHAnsi" w:hAnsiTheme="majorHAnsi" w:cstheme="majorHAnsi"/>
          <w:color w:val="auto"/>
          <w:sz w:val="24"/>
          <w:u w:val="single"/>
        </w:rPr>
        <w:t>Purpose</w:t>
      </w:r>
    </w:p>
    <w:p w:rsidR="00BD5FC7" w:rsidRPr="00FF1367" w:rsidRDefault="00BD5FC7"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To assist the school to keep student information confidential as appropriate.</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 xml:space="preserve">To ensure </w:t>
      </w:r>
      <w:r w:rsidR="00854F79" w:rsidRPr="00FF1367">
        <w:rPr>
          <w:rFonts w:asciiTheme="majorHAnsi" w:hAnsiTheme="majorHAnsi" w:cstheme="majorHAnsi"/>
          <w:sz w:val="24"/>
          <w:szCs w:val="21"/>
        </w:rPr>
        <w:t>Charles La Trobe College</w:t>
      </w:r>
      <w:r w:rsidRPr="00FF1367">
        <w:rPr>
          <w:rFonts w:asciiTheme="majorHAnsi" w:hAnsiTheme="majorHAnsi" w:cstheme="majorHAnsi"/>
          <w:sz w:val="24"/>
          <w:szCs w:val="21"/>
        </w:rPr>
        <w:t xml:space="preserve"> complies with DET policy and guidelines and the legislative requirements of the following Acts t in respect of access to student reports:</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Children, Youth and Families Act 2005 (Vic)</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Education and Training Reform Act 2006 (Vic)</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Family Law Act 1975 (</w:t>
      </w:r>
      <w:proofErr w:type="spellStart"/>
      <w:r w:rsidRPr="00FF1367">
        <w:rPr>
          <w:rFonts w:asciiTheme="majorHAnsi" w:hAnsiTheme="majorHAnsi" w:cstheme="majorHAnsi"/>
          <w:sz w:val="24"/>
          <w:szCs w:val="21"/>
        </w:rPr>
        <w:t>Cth</w:t>
      </w:r>
      <w:proofErr w:type="spellEnd"/>
      <w:r w:rsidRPr="00FF1367">
        <w:rPr>
          <w:rFonts w:asciiTheme="majorHAnsi" w:hAnsiTheme="majorHAnsi" w:cstheme="majorHAnsi"/>
          <w:sz w:val="24"/>
          <w:szCs w:val="21"/>
        </w:rPr>
        <w:t>)</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Freedom of Information Act 1982 (Vic)</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Health Records Act 2001 (Vic)</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Information Privacy Act 2000 (Vic)</w:t>
      </w:r>
    </w:p>
    <w:p w:rsidR="00DC79AA" w:rsidRPr="00FF1367" w:rsidRDefault="00DC79AA" w:rsidP="001E5015">
      <w:pPr>
        <w:pStyle w:val="NoSpacing"/>
        <w:rPr>
          <w:rStyle w:val="SubtleReference"/>
          <w:rFonts w:asciiTheme="majorHAnsi" w:hAnsiTheme="majorHAnsi" w:cstheme="majorHAnsi"/>
          <w:color w:val="auto"/>
          <w:u w:val="single"/>
        </w:rPr>
      </w:pPr>
    </w:p>
    <w:p w:rsidR="00DC79AA" w:rsidRPr="00FF1367" w:rsidRDefault="00DC79AA" w:rsidP="00963552">
      <w:pPr>
        <w:pStyle w:val="NoSpacing"/>
        <w:rPr>
          <w:rStyle w:val="SubtleReference"/>
          <w:rFonts w:asciiTheme="majorHAnsi" w:hAnsiTheme="majorHAnsi" w:cstheme="majorHAnsi"/>
          <w:color w:val="auto"/>
          <w:sz w:val="24"/>
          <w:u w:val="single"/>
        </w:rPr>
      </w:pPr>
      <w:r w:rsidRPr="00FF1367">
        <w:rPr>
          <w:rStyle w:val="SubtleReference"/>
          <w:rFonts w:asciiTheme="majorHAnsi" w:hAnsiTheme="majorHAnsi" w:cstheme="majorHAnsi"/>
          <w:color w:val="auto"/>
          <w:sz w:val="24"/>
          <w:u w:val="single"/>
        </w:rPr>
        <w:t>Implementation</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 xml:space="preserve">In all cases, before providing information about students, the </w:t>
      </w:r>
      <w:r w:rsidR="00FA7944" w:rsidRPr="00FF1367">
        <w:rPr>
          <w:rFonts w:asciiTheme="majorHAnsi" w:hAnsiTheme="majorHAnsi" w:cstheme="majorHAnsi"/>
          <w:sz w:val="24"/>
          <w:szCs w:val="21"/>
        </w:rPr>
        <w:t>principal class officer</w:t>
      </w:r>
      <w:r w:rsidRPr="00FF1367">
        <w:rPr>
          <w:rFonts w:asciiTheme="majorHAnsi" w:hAnsiTheme="majorHAnsi" w:cstheme="majorHAnsi"/>
          <w:sz w:val="24"/>
          <w:szCs w:val="21"/>
        </w:rPr>
        <w:t xml:space="preserve"> must be satisfied of the identity of the person seeking information and that the person is entitled to access the information.</w:t>
      </w:r>
    </w:p>
    <w:p w:rsidR="00BD5FC7" w:rsidRPr="00FF1367" w:rsidRDefault="00BD5FC7"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If</w:t>
      </w:r>
      <w:r w:rsidR="00FA7944" w:rsidRPr="00FF1367">
        <w:rPr>
          <w:rFonts w:asciiTheme="majorHAnsi" w:hAnsiTheme="majorHAnsi" w:cstheme="majorHAnsi"/>
          <w:sz w:val="24"/>
          <w:szCs w:val="21"/>
        </w:rPr>
        <w:t xml:space="preserve"> there is any uncertainty, the principal class officer </w:t>
      </w:r>
      <w:r w:rsidRPr="00FF1367">
        <w:rPr>
          <w:rFonts w:asciiTheme="majorHAnsi" w:hAnsiTheme="majorHAnsi" w:cstheme="majorHAnsi"/>
          <w:sz w:val="24"/>
          <w:szCs w:val="21"/>
        </w:rPr>
        <w:t>will seek advice from Legal Services Unit.</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The school acknowledges that subject to any Family Court Order, parents have equal ‘parental responsibility’ in respect of the child, including an entitlement to know where their child is enrolled.</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Parents who have parental responsibility for “long-term care, welfare and responsibility” have the same entitlement.</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If the school is satisfied that either there are no Court Orders in place or there is a Court Order conferring long-term care, welfare and responsibility for the child on the parent and there are no immediate welfare concerns and the school is satisfied of the identity of the parent and his/her relationship to the child then the school if requested will:</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confirm the student is enrolled bu</w:t>
      </w:r>
      <w:r w:rsidR="001E5015" w:rsidRPr="00FF1367">
        <w:rPr>
          <w:rFonts w:asciiTheme="majorHAnsi" w:hAnsiTheme="majorHAnsi" w:cstheme="majorHAnsi"/>
          <w:sz w:val="24"/>
          <w:szCs w:val="21"/>
        </w:rPr>
        <w:t xml:space="preserve">t will not reveal the student’s </w:t>
      </w:r>
      <w:r w:rsidRPr="00FF1367">
        <w:rPr>
          <w:rFonts w:asciiTheme="majorHAnsi" w:hAnsiTheme="majorHAnsi" w:cstheme="majorHAnsi"/>
          <w:sz w:val="24"/>
          <w:szCs w:val="21"/>
        </w:rPr>
        <w:t>address</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provide a copy of the school report</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provide copies of school communications</w:t>
      </w:r>
      <w:r w:rsidR="00FA7944" w:rsidRPr="00FF1367">
        <w:rPr>
          <w:rFonts w:asciiTheme="majorHAnsi" w:hAnsiTheme="majorHAnsi" w:cstheme="majorHAnsi"/>
          <w:sz w:val="24"/>
          <w:szCs w:val="21"/>
        </w:rPr>
        <w:t>.</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 xml:space="preserve">Requests from parents for other documents (for example, incident reports, staff diary notes, minutes of meetings etc.) will be referred to the </w:t>
      </w:r>
      <w:r w:rsidR="007D0807" w:rsidRPr="00FF1367">
        <w:rPr>
          <w:rFonts w:asciiTheme="majorHAnsi" w:hAnsiTheme="majorHAnsi" w:cstheme="majorHAnsi"/>
          <w:sz w:val="24"/>
          <w:szCs w:val="21"/>
        </w:rPr>
        <w:t>Freedom of Information Manager</w:t>
      </w:r>
      <w:r w:rsidRPr="00FF1367">
        <w:rPr>
          <w:rFonts w:asciiTheme="majorHAnsi" w:hAnsiTheme="majorHAnsi" w:cstheme="majorHAnsi"/>
          <w:sz w:val="24"/>
          <w:szCs w:val="21"/>
        </w:rPr>
        <w:t>, who will determine whether the person is entitled to the information.</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If a student or former student requests information and documentation, it will be released if:</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the document/information was given to the school by the student</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lastRenderedPageBreak/>
        <w:t>the document/information was previously given to the student</w:t>
      </w:r>
    </w:p>
    <w:p w:rsidR="00DC79AA" w:rsidRPr="00FF1367" w:rsidRDefault="00DC79AA" w:rsidP="00963552">
      <w:pPr>
        <w:pStyle w:val="NoSpacing"/>
        <w:numPr>
          <w:ilvl w:val="0"/>
          <w:numId w:val="3"/>
        </w:numPr>
        <w:ind w:left="851" w:hanging="425"/>
        <w:rPr>
          <w:rFonts w:asciiTheme="majorHAnsi" w:hAnsiTheme="majorHAnsi" w:cstheme="majorHAnsi"/>
          <w:sz w:val="24"/>
          <w:szCs w:val="21"/>
        </w:rPr>
      </w:pPr>
      <w:r w:rsidRPr="00FF1367">
        <w:rPr>
          <w:rFonts w:asciiTheme="majorHAnsi" w:hAnsiTheme="majorHAnsi" w:cstheme="majorHAnsi"/>
          <w:sz w:val="24"/>
          <w:szCs w:val="21"/>
        </w:rPr>
        <w:t>the document is publicly available</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The school will respond positively to Court Orders or subpoenas.</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For further information about who may seek information about students, please refer to the School Policy Advisory Guide &gt; A – Z Index.</w:t>
      </w:r>
    </w:p>
    <w:p w:rsidR="00DC79AA" w:rsidRPr="00FF1367" w:rsidRDefault="00DC79AA" w:rsidP="00963552">
      <w:pPr>
        <w:pStyle w:val="NoSpacing"/>
        <w:numPr>
          <w:ilvl w:val="0"/>
          <w:numId w:val="1"/>
        </w:numPr>
        <w:ind w:left="426" w:hanging="425"/>
        <w:rPr>
          <w:rFonts w:asciiTheme="majorHAnsi" w:hAnsiTheme="majorHAnsi" w:cstheme="majorHAnsi"/>
          <w:sz w:val="24"/>
          <w:szCs w:val="21"/>
        </w:rPr>
      </w:pPr>
      <w:r w:rsidRPr="00FF1367">
        <w:rPr>
          <w:rFonts w:asciiTheme="majorHAnsi" w:hAnsiTheme="majorHAnsi" w:cstheme="majorHAnsi"/>
          <w:sz w:val="24"/>
          <w:szCs w:val="21"/>
        </w:rPr>
        <w:t>Please refer also to the school’s Information Privacy Policy and the Parental Responsibilities (Decisions about Students) Policy.</w:t>
      </w:r>
    </w:p>
    <w:p w:rsidR="00DC79AA" w:rsidRPr="00FF1367" w:rsidRDefault="00DC79AA" w:rsidP="001E5015">
      <w:pPr>
        <w:pStyle w:val="NoSpacing"/>
        <w:rPr>
          <w:rFonts w:asciiTheme="majorHAnsi" w:hAnsiTheme="majorHAnsi" w:cstheme="majorHAnsi"/>
          <w:sz w:val="24"/>
          <w:szCs w:val="21"/>
        </w:rPr>
      </w:pPr>
    </w:p>
    <w:p w:rsidR="00963552" w:rsidRPr="00FF1367" w:rsidRDefault="00DC79AA" w:rsidP="00963552">
      <w:pPr>
        <w:pStyle w:val="NoSpacing"/>
        <w:rPr>
          <w:rStyle w:val="SubtleReference"/>
          <w:rFonts w:asciiTheme="majorHAnsi" w:hAnsiTheme="majorHAnsi" w:cstheme="majorHAnsi"/>
          <w:color w:val="auto"/>
          <w:sz w:val="24"/>
          <w:u w:val="single"/>
        </w:rPr>
      </w:pPr>
      <w:r w:rsidRPr="00FF1367">
        <w:rPr>
          <w:rStyle w:val="SubtleReference"/>
          <w:rFonts w:asciiTheme="majorHAnsi" w:hAnsiTheme="majorHAnsi" w:cstheme="majorHAnsi"/>
          <w:color w:val="auto"/>
          <w:sz w:val="24"/>
          <w:u w:val="single"/>
        </w:rPr>
        <w:t>Evaluation</w:t>
      </w:r>
    </w:p>
    <w:p w:rsidR="00DC79AA" w:rsidRPr="00FF1367" w:rsidRDefault="00DC79AA" w:rsidP="00963552">
      <w:pPr>
        <w:pStyle w:val="NoSpacing"/>
        <w:rPr>
          <w:rFonts w:asciiTheme="majorHAnsi" w:hAnsiTheme="majorHAnsi" w:cstheme="majorHAnsi"/>
          <w:smallCaps/>
          <w:sz w:val="24"/>
          <w:u w:val="single"/>
        </w:rPr>
      </w:pPr>
      <w:r w:rsidRPr="00FF1367">
        <w:rPr>
          <w:rFonts w:asciiTheme="majorHAnsi" w:hAnsiTheme="majorHAnsi" w:cstheme="majorHAnsi"/>
          <w:sz w:val="24"/>
          <w:szCs w:val="21"/>
        </w:rPr>
        <w:t xml:space="preserve">This policy will be reviewed as part of the school’s three-year review cycle or if guidelines change (latest DET update </w:t>
      </w:r>
      <w:r w:rsidR="00A45723" w:rsidRPr="00FF1367">
        <w:rPr>
          <w:rFonts w:asciiTheme="majorHAnsi" w:hAnsiTheme="majorHAnsi" w:cstheme="majorHAnsi"/>
          <w:sz w:val="24"/>
          <w:szCs w:val="21"/>
        </w:rPr>
        <w:t>late</w:t>
      </w:r>
      <w:r w:rsidRPr="00FF1367">
        <w:rPr>
          <w:rFonts w:asciiTheme="majorHAnsi" w:hAnsiTheme="majorHAnsi" w:cstheme="majorHAnsi"/>
          <w:sz w:val="24"/>
          <w:szCs w:val="21"/>
        </w:rPr>
        <w:t xml:space="preserve"> April 201</w:t>
      </w:r>
      <w:r w:rsidR="00A45723" w:rsidRPr="00FF1367">
        <w:rPr>
          <w:rFonts w:asciiTheme="majorHAnsi" w:hAnsiTheme="majorHAnsi" w:cstheme="majorHAnsi"/>
          <w:sz w:val="24"/>
          <w:szCs w:val="21"/>
        </w:rPr>
        <w:t>7</w:t>
      </w:r>
      <w:r w:rsidRPr="00FF1367">
        <w:rPr>
          <w:rFonts w:asciiTheme="majorHAnsi" w:hAnsiTheme="majorHAnsi" w:cstheme="majorHAnsi"/>
          <w:b/>
          <w:sz w:val="24"/>
          <w:szCs w:val="21"/>
        </w:rPr>
        <w:t>).</w:t>
      </w:r>
    </w:p>
    <w:p w:rsidR="00DC79AA" w:rsidRPr="00FF1367" w:rsidRDefault="00DC79AA" w:rsidP="00DC79AA">
      <w:pPr>
        <w:pStyle w:val="NoSpacing"/>
        <w:rPr>
          <w:rFonts w:asciiTheme="majorHAnsi" w:hAnsiTheme="majorHAnsi" w:cstheme="majorHAnsi"/>
          <w:sz w:val="24"/>
          <w:szCs w:val="21"/>
        </w:rPr>
      </w:pPr>
    </w:p>
    <w:p w:rsidR="00FA7944" w:rsidRPr="00FF1367" w:rsidRDefault="00FA7944" w:rsidP="00963552">
      <w:pPr>
        <w:pStyle w:val="NoSpacing"/>
        <w:rPr>
          <w:rStyle w:val="SubtleReference"/>
          <w:rFonts w:asciiTheme="majorHAnsi" w:hAnsiTheme="majorHAnsi" w:cstheme="majorHAnsi"/>
          <w:color w:val="auto"/>
          <w:sz w:val="24"/>
          <w:u w:val="single"/>
        </w:rPr>
      </w:pPr>
      <w:r w:rsidRPr="00FF1367">
        <w:rPr>
          <w:rStyle w:val="SubtleReference"/>
          <w:rFonts w:asciiTheme="majorHAnsi" w:hAnsiTheme="majorHAnsi" w:cstheme="majorHAnsi"/>
          <w:color w:val="auto"/>
          <w:sz w:val="24"/>
          <w:u w:val="single"/>
        </w:rPr>
        <w:t>Ratification</w:t>
      </w:r>
    </w:p>
    <w:p w:rsidR="00DC79AA" w:rsidRPr="00FF1367" w:rsidRDefault="00DC79AA" w:rsidP="00963552">
      <w:pPr>
        <w:pStyle w:val="NoSpacing"/>
        <w:rPr>
          <w:rFonts w:asciiTheme="majorHAnsi" w:hAnsiTheme="majorHAnsi" w:cstheme="majorHAnsi"/>
          <w:sz w:val="24"/>
          <w:szCs w:val="21"/>
        </w:rPr>
      </w:pPr>
      <w:r w:rsidRPr="00FF1367">
        <w:rPr>
          <w:rFonts w:asciiTheme="majorHAnsi" w:hAnsiTheme="majorHAnsi" w:cstheme="majorHAnsi"/>
          <w:sz w:val="24"/>
          <w:szCs w:val="21"/>
        </w:rPr>
        <w:t xml:space="preserve">This policy was ratified by </w:t>
      </w:r>
      <w:r w:rsidR="00854F79" w:rsidRPr="00FF1367">
        <w:rPr>
          <w:rFonts w:asciiTheme="majorHAnsi" w:hAnsiTheme="majorHAnsi" w:cstheme="majorHAnsi"/>
          <w:sz w:val="24"/>
          <w:szCs w:val="21"/>
        </w:rPr>
        <w:t xml:space="preserve">the </w:t>
      </w:r>
      <w:r w:rsidR="00A1223F" w:rsidRPr="00FF1367">
        <w:rPr>
          <w:rFonts w:asciiTheme="majorHAnsi" w:hAnsiTheme="majorHAnsi" w:cstheme="majorHAnsi"/>
          <w:sz w:val="24"/>
          <w:szCs w:val="21"/>
        </w:rPr>
        <w:t>College</w:t>
      </w:r>
      <w:r w:rsidRPr="00FF1367">
        <w:rPr>
          <w:rFonts w:asciiTheme="majorHAnsi" w:hAnsiTheme="majorHAnsi" w:cstheme="majorHAnsi"/>
          <w:sz w:val="24"/>
          <w:szCs w:val="21"/>
        </w:rPr>
        <w:t xml:space="preserve"> Council </w:t>
      </w:r>
      <w:r w:rsidR="00854F79" w:rsidRPr="00FF1367">
        <w:rPr>
          <w:rFonts w:asciiTheme="majorHAnsi" w:hAnsiTheme="majorHAnsi" w:cstheme="majorHAnsi"/>
          <w:sz w:val="24"/>
          <w:szCs w:val="21"/>
        </w:rPr>
        <w:t>o</w:t>
      </w:r>
      <w:r w:rsidR="00C32D5C" w:rsidRPr="00FF1367">
        <w:rPr>
          <w:rFonts w:asciiTheme="majorHAnsi" w:hAnsiTheme="majorHAnsi" w:cstheme="majorHAnsi"/>
          <w:sz w:val="24"/>
          <w:szCs w:val="21"/>
        </w:rPr>
        <w:t xml:space="preserve">n </w:t>
      </w:r>
      <w:r w:rsidR="00FA7944" w:rsidRPr="00FF1367">
        <w:rPr>
          <w:rFonts w:asciiTheme="majorHAnsi" w:hAnsiTheme="majorHAnsi" w:cstheme="majorHAnsi"/>
          <w:sz w:val="24"/>
          <w:szCs w:val="21"/>
        </w:rPr>
        <w:t xml:space="preserve">15th </w:t>
      </w:r>
      <w:r w:rsidR="00FF1367">
        <w:rPr>
          <w:rFonts w:asciiTheme="majorHAnsi" w:hAnsiTheme="majorHAnsi" w:cstheme="majorHAnsi"/>
          <w:sz w:val="24"/>
          <w:szCs w:val="21"/>
        </w:rPr>
        <w:t>February,</w:t>
      </w:r>
      <w:bookmarkStart w:id="0" w:name="_GoBack"/>
      <w:bookmarkEnd w:id="0"/>
      <w:r w:rsidR="00FA7944" w:rsidRPr="00FF1367">
        <w:rPr>
          <w:rFonts w:asciiTheme="majorHAnsi" w:hAnsiTheme="majorHAnsi" w:cstheme="majorHAnsi"/>
          <w:sz w:val="24"/>
          <w:szCs w:val="21"/>
        </w:rPr>
        <w:t xml:space="preserve"> 2018.</w:t>
      </w:r>
    </w:p>
    <w:p w:rsidR="00DC79AA" w:rsidRPr="00FF1367" w:rsidRDefault="00DC79AA" w:rsidP="00DC79AA">
      <w:pPr>
        <w:pStyle w:val="NoSpacing"/>
        <w:rPr>
          <w:rFonts w:asciiTheme="majorHAnsi" w:hAnsiTheme="majorHAnsi" w:cstheme="majorHAnsi"/>
          <w:sz w:val="21"/>
          <w:szCs w:val="21"/>
        </w:rPr>
      </w:pPr>
    </w:p>
    <w:p w:rsidR="00963552" w:rsidRPr="00FF1367" w:rsidRDefault="00DC79AA" w:rsidP="00963552">
      <w:pPr>
        <w:pStyle w:val="NoSpacing"/>
        <w:rPr>
          <w:rStyle w:val="SubtleReference"/>
          <w:rFonts w:asciiTheme="majorHAnsi" w:hAnsiTheme="majorHAnsi" w:cstheme="majorHAnsi"/>
          <w:color w:val="auto"/>
          <w:sz w:val="24"/>
          <w:u w:val="single"/>
        </w:rPr>
      </w:pPr>
      <w:r w:rsidRPr="00FF1367">
        <w:rPr>
          <w:rStyle w:val="SubtleReference"/>
          <w:rFonts w:asciiTheme="majorHAnsi" w:hAnsiTheme="majorHAnsi" w:cstheme="majorHAnsi"/>
          <w:color w:val="auto"/>
          <w:sz w:val="24"/>
          <w:u w:val="single"/>
        </w:rPr>
        <w:t>Reference</w:t>
      </w:r>
    </w:p>
    <w:p w:rsidR="00365E49" w:rsidRPr="00FF1367" w:rsidRDefault="00963552" w:rsidP="00963552">
      <w:pPr>
        <w:pStyle w:val="NoSpacing"/>
        <w:rPr>
          <w:rFonts w:asciiTheme="majorHAnsi" w:hAnsiTheme="majorHAnsi" w:cstheme="majorHAnsi"/>
          <w:smallCaps/>
          <w:sz w:val="24"/>
          <w:u w:val="single"/>
        </w:rPr>
      </w:pPr>
      <w:hyperlink r:id="rId10" w:history="1">
        <w:r w:rsidRPr="00FF1367">
          <w:rPr>
            <w:rStyle w:val="Hyperlink"/>
            <w:rFonts w:asciiTheme="majorHAnsi" w:hAnsiTheme="majorHAnsi" w:cstheme="majorHAnsi"/>
            <w:sz w:val="24"/>
            <w:szCs w:val="21"/>
          </w:rPr>
          <w:t>www.education.vic.gov.au/school/principals/spag/safety/Pages/requestinfo.aspx</w:t>
        </w:r>
      </w:hyperlink>
    </w:p>
    <w:sectPr w:rsidR="00365E49" w:rsidRPr="00FF1367" w:rsidSect="001E5015">
      <w:headerReference w:type="default" r:id="rId11"/>
      <w:footerReference w:type="default" r:id="rId12"/>
      <w:pgSz w:w="11906" w:h="16838"/>
      <w:pgMar w:top="1440" w:right="1440" w:bottom="1440" w:left="1440"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C26" w:rsidRDefault="00847C26" w:rsidP="001E5015">
      <w:pPr>
        <w:spacing w:after="0" w:line="240" w:lineRule="auto"/>
      </w:pPr>
      <w:r>
        <w:separator/>
      </w:r>
    </w:p>
  </w:endnote>
  <w:endnote w:type="continuationSeparator" w:id="0">
    <w:p w:rsidR="00847C26" w:rsidRDefault="00847C26" w:rsidP="001E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563729"/>
      <w:docPartObj>
        <w:docPartGallery w:val="Page Numbers (Bottom of Page)"/>
        <w:docPartUnique/>
      </w:docPartObj>
    </w:sdtPr>
    <w:sdtEndPr>
      <w:rPr>
        <w:noProof/>
      </w:rPr>
    </w:sdtEndPr>
    <w:sdtContent>
      <w:p w:rsidR="001E5015" w:rsidRDefault="001E5015" w:rsidP="00A03653">
        <w:pPr>
          <w:pStyle w:val="Footer"/>
          <w:jc w:val="center"/>
        </w:pPr>
        <w:r>
          <w:fldChar w:fldCharType="begin"/>
        </w:r>
        <w:r>
          <w:instrText xml:space="preserve"> PAGE   \* MERGEFORMAT </w:instrText>
        </w:r>
        <w:r>
          <w:fldChar w:fldCharType="separate"/>
        </w:r>
        <w:r w:rsidR="00FF136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C26" w:rsidRDefault="00847C26" w:rsidP="001E5015">
      <w:pPr>
        <w:spacing w:after="0" w:line="240" w:lineRule="auto"/>
      </w:pPr>
      <w:r>
        <w:separator/>
      </w:r>
    </w:p>
  </w:footnote>
  <w:footnote w:type="continuationSeparator" w:id="0">
    <w:p w:rsidR="00847C26" w:rsidRDefault="00847C26" w:rsidP="001E5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799"/>
      <w:gridCol w:w="2217"/>
    </w:tblGrid>
    <w:tr w:rsidR="009236CF" w:rsidTr="00BD7D18">
      <w:trPr>
        <w:trHeight w:val="1691"/>
      </w:trPr>
      <w:tc>
        <w:tcPr>
          <w:tcW w:w="6799" w:type="dxa"/>
          <w:vAlign w:val="center"/>
        </w:tcPr>
        <w:p w:rsidR="009236CF" w:rsidRPr="00BD7D18" w:rsidRDefault="009236CF" w:rsidP="00BD7D18">
          <w:pPr>
            <w:pStyle w:val="Title"/>
            <w:rPr>
              <w:b w:val="0"/>
            </w:rPr>
          </w:pPr>
          <w:r w:rsidRPr="00BD7D18">
            <w:rPr>
              <w:b w:val="0"/>
              <w:sz w:val="36"/>
              <w:szCs w:val="36"/>
            </w:rPr>
            <w:t>ACCESS TO REPORTS &amp; OTHER INFORMATION ABOUT A STUDENT POLICY</w:t>
          </w:r>
        </w:p>
      </w:tc>
      <w:tc>
        <w:tcPr>
          <w:tcW w:w="2217" w:type="dxa"/>
        </w:tcPr>
        <w:p w:rsidR="009236CF" w:rsidRDefault="009236CF" w:rsidP="00BD7D18">
          <w:pPr>
            <w:pStyle w:val="Title"/>
            <w:ind w:right="267"/>
            <w:jc w:val="right"/>
          </w:pPr>
          <w:r>
            <w:rPr>
              <w:noProof/>
            </w:rPr>
            <w:drawing>
              <wp:anchor distT="0" distB="0" distL="114300" distR="114300" simplePos="0" relativeHeight="251659264" behindDoc="0" locked="0" layoutInCell="1" allowOverlap="1" wp14:anchorId="48895B26" wp14:editId="587A8D88">
                <wp:simplePos x="0" y="0"/>
                <wp:positionH relativeFrom="column">
                  <wp:posOffset>254847</wp:posOffset>
                </wp:positionH>
                <wp:positionV relativeFrom="paragraph">
                  <wp:posOffset>59267</wp:posOffset>
                </wp:positionV>
                <wp:extent cx="975783" cy="9522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804" cy="956139"/>
                        </a:xfrm>
                        <a:prstGeom prst="rect">
                          <a:avLst/>
                        </a:prstGeom>
                      </pic:spPr>
                    </pic:pic>
                  </a:graphicData>
                </a:graphic>
                <wp14:sizeRelH relativeFrom="page">
                  <wp14:pctWidth>0</wp14:pctWidth>
                </wp14:sizeRelH>
                <wp14:sizeRelV relativeFrom="page">
                  <wp14:pctHeight>0</wp14:pctHeight>
                </wp14:sizeRelV>
              </wp:anchor>
            </w:drawing>
          </w:r>
        </w:p>
      </w:tc>
    </w:tr>
  </w:tbl>
  <w:p w:rsidR="001E5015" w:rsidRDefault="001E5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6FB"/>
    <w:multiLevelType w:val="hybridMultilevel"/>
    <w:tmpl w:val="C58AC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3228D"/>
    <w:multiLevelType w:val="hybridMultilevel"/>
    <w:tmpl w:val="2A0A35B6"/>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B39B7"/>
    <w:multiLevelType w:val="hybridMultilevel"/>
    <w:tmpl w:val="F4AC01F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495B37"/>
    <w:multiLevelType w:val="hybridMultilevel"/>
    <w:tmpl w:val="3EE0941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D9222F"/>
    <w:multiLevelType w:val="hybridMultilevel"/>
    <w:tmpl w:val="1C26298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4908F7"/>
    <w:multiLevelType w:val="hybridMultilevel"/>
    <w:tmpl w:val="39329AC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15:restartNumberingAfterBreak="0">
    <w:nsid w:val="24D1287D"/>
    <w:multiLevelType w:val="hybridMultilevel"/>
    <w:tmpl w:val="1736EB9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A51A3C"/>
    <w:multiLevelType w:val="hybridMultilevel"/>
    <w:tmpl w:val="73AAC33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67600"/>
    <w:multiLevelType w:val="hybridMultilevel"/>
    <w:tmpl w:val="5A62D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22370"/>
    <w:multiLevelType w:val="hybridMultilevel"/>
    <w:tmpl w:val="0BA40E5C"/>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3768EE"/>
    <w:multiLevelType w:val="hybridMultilevel"/>
    <w:tmpl w:val="3C38BBE8"/>
    <w:lvl w:ilvl="0" w:tplc="9F006F5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6474E"/>
    <w:multiLevelType w:val="hybridMultilevel"/>
    <w:tmpl w:val="7A10405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2" w15:restartNumberingAfterBreak="0">
    <w:nsid w:val="4AD34AD5"/>
    <w:multiLevelType w:val="hybridMultilevel"/>
    <w:tmpl w:val="E03AB530"/>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070151"/>
    <w:multiLevelType w:val="hybridMultilevel"/>
    <w:tmpl w:val="5BC4D03E"/>
    <w:lvl w:ilvl="0" w:tplc="6C685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586805"/>
    <w:multiLevelType w:val="hybridMultilevel"/>
    <w:tmpl w:val="92F8AFB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D037FD"/>
    <w:multiLevelType w:val="hybridMultilevel"/>
    <w:tmpl w:val="3764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2"/>
  </w:num>
  <w:num w:numId="5">
    <w:abstractNumId w:val="4"/>
  </w:num>
  <w:num w:numId="6">
    <w:abstractNumId w:val="1"/>
  </w:num>
  <w:num w:numId="7">
    <w:abstractNumId w:val="14"/>
  </w:num>
  <w:num w:numId="8">
    <w:abstractNumId w:val="9"/>
  </w:num>
  <w:num w:numId="9">
    <w:abstractNumId w:val="12"/>
  </w:num>
  <w:num w:numId="10">
    <w:abstractNumId w:val="7"/>
  </w:num>
  <w:num w:numId="11">
    <w:abstractNumId w:val="15"/>
  </w:num>
  <w:num w:numId="12">
    <w:abstractNumId w:val="5"/>
  </w:num>
  <w:num w:numId="13">
    <w:abstractNumId w:val="0"/>
  </w:num>
  <w:num w:numId="14">
    <w:abstractNumId w:val="1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36BC"/>
    <w:rsid w:val="00091DD9"/>
    <w:rsid w:val="000E52EC"/>
    <w:rsid w:val="00135515"/>
    <w:rsid w:val="001E5015"/>
    <w:rsid w:val="002C7F9C"/>
    <w:rsid w:val="00365E49"/>
    <w:rsid w:val="003A1A1D"/>
    <w:rsid w:val="003C0605"/>
    <w:rsid w:val="003C4A36"/>
    <w:rsid w:val="003E21F4"/>
    <w:rsid w:val="005E6A93"/>
    <w:rsid w:val="006342C1"/>
    <w:rsid w:val="00636BD0"/>
    <w:rsid w:val="007C35C5"/>
    <w:rsid w:val="007D0807"/>
    <w:rsid w:val="00847C26"/>
    <w:rsid w:val="00854F79"/>
    <w:rsid w:val="008B5AF8"/>
    <w:rsid w:val="00912DA4"/>
    <w:rsid w:val="009236CF"/>
    <w:rsid w:val="00963552"/>
    <w:rsid w:val="00A03653"/>
    <w:rsid w:val="00A1223F"/>
    <w:rsid w:val="00A45723"/>
    <w:rsid w:val="00A97010"/>
    <w:rsid w:val="00AD239B"/>
    <w:rsid w:val="00BD5FC7"/>
    <w:rsid w:val="00BD7D18"/>
    <w:rsid w:val="00BE2EA6"/>
    <w:rsid w:val="00C27E35"/>
    <w:rsid w:val="00C32D5C"/>
    <w:rsid w:val="00D45141"/>
    <w:rsid w:val="00DB1DCB"/>
    <w:rsid w:val="00DC79AA"/>
    <w:rsid w:val="00E9640D"/>
    <w:rsid w:val="00FA7944"/>
    <w:rsid w:val="00FF1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1E39B"/>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5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015"/>
  </w:style>
  <w:style w:type="character" w:styleId="SubtleReference">
    <w:name w:val="Subtle Reference"/>
    <w:basedOn w:val="DefaultParagraphFont"/>
    <w:uiPriority w:val="31"/>
    <w:qFormat/>
    <w:rsid w:val="000236BC"/>
    <w:rPr>
      <w:smallCaps/>
      <w:color w:val="5A5A5A" w:themeColor="text1" w:themeTint="A5"/>
    </w:rPr>
  </w:style>
  <w:style w:type="paragraph" w:styleId="Title">
    <w:name w:val="Title"/>
    <w:basedOn w:val="Normal"/>
    <w:link w:val="TitleChar"/>
    <w:qFormat/>
    <w:rsid w:val="009236CF"/>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9236CF"/>
    <w:rPr>
      <w:rFonts w:asciiTheme="majorHAnsi" w:eastAsia="Times New Roman" w:hAnsiTheme="majorHAnsi" w:cs="Times New Roman"/>
      <w:b/>
      <w:caps/>
      <w:sz w:val="28"/>
      <w:szCs w:val="24"/>
    </w:rPr>
  </w:style>
  <w:style w:type="table" w:styleId="TableGrid">
    <w:name w:val="Table Grid"/>
    <w:basedOn w:val="TableNormal"/>
    <w:rsid w:val="009236CF"/>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5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safety/Pages/requestinfo.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CD28F-EC9C-406C-B8F7-E5B344BA5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64CF2-CE95-4CDB-AD88-B09FC54F90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D9255-1196-4B0F-B8D8-6DEE7E171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11</cp:revision>
  <dcterms:created xsi:type="dcterms:W3CDTF">2017-06-22T03:54:00Z</dcterms:created>
  <dcterms:modified xsi:type="dcterms:W3CDTF">2017-12-31T04:19:00Z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